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051D8" w14:textId="77777777" w:rsidR="008458FE" w:rsidRDefault="008458FE" w:rsidP="00F7620C">
      <w:pPr>
        <w:rPr>
          <w:szCs w:val="24"/>
        </w:rPr>
      </w:pPr>
      <w:bookmarkStart w:id="0" w:name="_Hlk33795708"/>
    </w:p>
    <w:p w14:paraId="7F4A93DD" w14:textId="1243AF51" w:rsidR="00F7620C" w:rsidRDefault="000E7DDA" w:rsidP="00F7620C">
      <w:pPr>
        <w:rPr>
          <w:rFonts w:ascii="Arial" w:hAnsi="Arial" w:cs="Arial"/>
          <w:sz w:val="24"/>
          <w:szCs w:val="36"/>
        </w:rPr>
      </w:pPr>
      <w:r w:rsidRPr="008458FE">
        <w:rPr>
          <w:rFonts w:ascii="Arial" w:hAnsi="Arial" w:cs="Arial"/>
          <w:sz w:val="24"/>
          <w:szCs w:val="36"/>
        </w:rPr>
        <w:t>April</w:t>
      </w:r>
      <w:r w:rsidR="00F7620C" w:rsidRPr="008458FE">
        <w:rPr>
          <w:rFonts w:ascii="Arial" w:hAnsi="Arial" w:cs="Arial"/>
          <w:sz w:val="24"/>
          <w:szCs w:val="36"/>
        </w:rPr>
        <w:t xml:space="preserve"> </w:t>
      </w:r>
      <w:r w:rsidR="00F7620C" w:rsidRPr="008458FE">
        <w:rPr>
          <w:rFonts w:ascii="Arial" w:hAnsi="Arial" w:cs="Arial"/>
          <w:sz w:val="24"/>
          <w:szCs w:val="36"/>
          <w:highlight w:val="green"/>
        </w:rPr>
        <w:t>[X]</w:t>
      </w:r>
      <w:r w:rsidR="00F7620C" w:rsidRPr="008458FE">
        <w:rPr>
          <w:rFonts w:ascii="Arial" w:hAnsi="Arial" w:cs="Arial"/>
          <w:sz w:val="24"/>
          <w:szCs w:val="36"/>
        </w:rPr>
        <w:t>, 2020</w:t>
      </w:r>
    </w:p>
    <w:p w14:paraId="49A963D5" w14:textId="77777777" w:rsidR="008458FE" w:rsidRPr="008458FE" w:rsidRDefault="008458FE" w:rsidP="00F7620C">
      <w:pPr>
        <w:rPr>
          <w:rFonts w:ascii="Arial" w:hAnsi="Arial" w:cs="Arial"/>
          <w:sz w:val="24"/>
          <w:szCs w:val="36"/>
        </w:rPr>
      </w:pPr>
    </w:p>
    <w:p w14:paraId="7D833F85" w14:textId="234E7DF4" w:rsidR="00F7620C" w:rsidRPr="008458FE" w:rsidRDefault="00F7620C" w:rsidP="00F7620C">
      <w:pPr>
        <w:spacing w:after="0" w:line="240" w:lineRule="auto"/>
        <w:rPr>
          <w:rFonts w:ascii="Arial" w:hAnsi="Arial" w:cs="Arial"/>
          <w:sz w:val="24"/>
          <w:szCs w:val="36"/>
        </w:rPr>
      </w:pPr>
      <w:r w:rsidRPr="008458FE">
        <w:rPr>
          <w:rFonts w:ascii="Arial" w:hAnsi="Arial" w:cs="Arial"/>
          <w:sz w:val="24"/>
          <w:szCs w:val="36"/>
        </w:rPr>
        <w:t>To:</w:t>
      </w:r>
      <w:r w:rsidRPr="008458FE">
        <w:rPr>
          <w:rFonts w:ascii="Arial" w:hAnsi="Arial" w:cs="Arial"/>
          <w:sz w:val="24"/>
          <w:szCs w:val="36"/>
        </w:rPr>
        <w:tab/>
      </w:r>
      <w:r w:rsidRPr="008458FE">
        <w:rPr>
          <w:rFonts w:ascii="Arial" w:hAnsi="Arial" w:cs="Arial"/>
          <w:sz w:val="24"/>
          <w:szCs w:val="36"/>
          <w:highlight w:val="green"/>
        </w:rPr>
        <w:t xml:space="preserve">[insert </w:t>
      </w:r>
      <w:r w:rsidR="000E7DDA" w:rsidRPr="008458FE">
        <w:rPr>
          <w:rFonts w:ascii="Arial" w:hAnsi="Arial" w:cs="Arial"/>
          <w:sz w:val="24"/>
          <w:szCs w:val="36"/>
          <w:highlight w:val="green"/>
        </w:rPr>
        <w:t>donor</w:t>
      </w:r>
      <w:r w:rsidRPr="008458FE">
        <w:rPr>
          <w:rFonts w:ascii="Arial" w:hAnsi="Arial" w:cs="Arial"/>
          <w:sz w:val="24"/>
          <w:szCs w:val="36"/>
          <w:highlight w:val="green"/>
        </w:rPr>
        <w:t xml:space="preserve"> name]</w:t>
      </w:r>
      <w:r w:rsidRPr="008458FE">
        <w:rPr>
          <w:rFonts w:ascii="Arial" w:hAnsi="Arial" w:cs="Arial"/>
          <w:sz w:val="24"/>
          <w:szCs w:val="36"/>
        </w:rPr>
        <w:br/>
      </w:r>
      <w:r w:rsidRPr="008458FE">
        <w:rPr>
          <w:rFonts w:ascii="Arial" w:hAnsi="Arial" w:cs="Arial"/>
          <w:sz w:val="24"/>
          <w:szCs w:val="36"/>
        </w:rPr>
        <w:tab/>
      </w:r>
      <w:r w:rsidRPr="008458FE">
        <w:rPr>
          <w:rFonts w:ascii="Arial" w:hAnsi="Arial" w:cs="Arial"/>
          <w:sz w:val="24"/>
          <w:szCs w:val="36"/>
          <w:highlight w:val="green"/>
        </w:rPr>
        <w:t xml:space="preserve">[insert </w:t>
      </w:r>
      <w:r w:rsidR="000E7DDA" w:rsidRPr="008458FE">
        <w:rPr>
          <w:rFonts w:ascii="Arial" w:hAnsi="Arial" w:cs="Arial"/>
          <w:sz w:val="24"/>
          <w:szCs w:val="36"/>
          <w:highlight w:val="green"/>
        </w:rPr>
        <w:t>donor</w:t>
      </w:r>
      <w:r w:rsidRPr="008458FE">
        <w:rPr>
          <w:rFonts w:ascii="Arial" w:hAnsi="Arial" w:cs="Arial"/>
          <w:sz w:val="24"/>
          <w:szCs w:val="36"/>
          <w:highlight w:val="green"/>
        </w:rPr>
        <w:t xml:space="preserve"> contact]</w:t>
      </w:r>
    </w:p>
    <w:p w14:paraId="2F28CD2D" w14:textId="337864B1" w:rsidR="00F7620C" w:rsidRDefault="00F7620C" w:rsidP="00F7620C">
      <w:pPr>
        <w:spacing w:after="0" w:line="240" w:lineRule="auto"/>
        <w:ind w:firstLine="720"/>
        <w:rPr>
          <w:rFonts w:ascii="Arial" w:hAnsi="Arial" w:cs="Arial"/>
          <w:sz w:val="24"/>
          <w:szCs w:val="36"/>
        </w:rPr>
      </w:pPr>
      <w:r w:rsidRPr="008458FE">
        <w:rPr>
          <w:rFonts w:ascii="Arial" w:hAnsi="Arial" w:cs="Arial"/>
          <w:sz w:val="24"/>
          <w:szCs w:val="36"/>
          <w:highlight w:val="green"/>
        </w:rPr>
        <w:t xml:space="preserve">[insert </w:t>
      </w:r>
      <w:r w:rsidR="000E7DDA" w:rsidRPr="008458FE">
        <w:rPr>
          <w:rFonts w:ascii="Arial" w:hAnsi="Arial" w:cs="Arial"/>
          <w:sz w:val="24"/>
          <w:szCs w:val="36"/>
          <w:highlight w:val="green"/>
        </w:rPr>
        <w:t>donor</w:t>
      </w:r>
      <w:r w:rsidRPr="008458FE">
        <w:rPr>
          <w:rFonts w:ascii="Arial" w:hAnsi="Arial" w:cs="Arial"/>
          <w:sz w:val="24"/>
          <w:szCs w:val="36"/>
          <w:highlight w:val="green"/>
        </w:rPr>
        <w:t xml:space="preserve"> address]</w:t>
      </w:r>
    </w:p>
    <w:p w14:paraId="2CBBA767" w14:textId="77777777" w:rsidR="008458FE" w:rsidRPr="008458FE" w:rsidRDefault="008458FE" w:rsidP="00F7620C">
      <w:pPr>
        <w:spacing w:after="0" w:line="240" w:lineRule="auto"/>
        <w:ind w:firstLine="720"/>
        <w:rPr>
          <w:rFonts w:ascii="Arial" w:hAnsi="Arial" w:cs="Arial"/>
          <w:sz w:val="24"/>
          <w:szCs w:val="36"/>
        </w:rPr>
      </w:pPr>
    </w:p>
    <w:p w14:paraId="7EEB839F" w14:textId="77777777" w:rsidR="00F7620C" w:rsidRPr="008458FE" w:rsidRDefault="00F7620C" w:rsidP="00F7620C">
      <w:pPr>
        <w:spacing w:after="0" w:line="240" w:lineRule="auto"/>
        <w:ind w:firstLine="720"/>
        <w:rPr>
          <w:rFonts w:ascii="Arial" w:hAnsi="Arial" w:cs="Arial"/>
          <w:sz w:val="24"/>
          <w:szCs w:val="36"/>
        </w:rPr>
      </w:pPr>
    </w:p>
    <w:p w14:paraId="3A38D478" w14:textId="537AE00B" w:rsidR="004D14ED" w:rsidRPr="008458FE" w:rsidRDefault="00F7620C" w:rsidP="004D14ED">
      <w:pPr>
        <w:spacing w:after="0" w:line="240" w:lineRule="auto"/>
        <w:rPr>
          <w:rFonts w:ascii="Arial" w:hAnsi="Arial" w:cs="Arial"/>
          <w:sz w:val="24"/>
          <w:szCs w:val="36"/>
        </w:rPr>
      </w:pPr>
      <w:r w:rsidRPr="008458FE">
        <w:rPr>
          <w:rFonts w:ascii="Arial" w:hAnsi="Arial" w:cs="Arial"/>
          <w:sz w:val="24"/>
          <w:szCs w:val="36"/>
        </w:rPr>
        <w:t>From:</w:t>
      </w:r>
      <w:r w:rsidRPr="008458FE">
        <w:rPr>
          <w:rFonts w:ascii="Arial" w:hAnsi="Arial" w:cs="Arial"/>
          <w:sz w:val="24"/>
          <w:szCs w:val="36"/>
        </w:rPr>
        <w:tab/>
      </w:r>
      <w:r w:rsidR="000E7DDA" w:rsidRPr="008458FE">
        <w:rPr>
          <w:rFonts w:ascii="Arial" w:hAnsi="Arial" w:cs="Arial"/>
          <w:sz w:val="24"/>
          <w:szCs w:val="36"/>
        </w:rPr>
        <w:t xml:space="preserve">Ministry of Health, </w:t>
      </w:r>
      <w:r w:rsidR="00686811">
        <w:rPr>
          <w:rFonts w:ascii="Arial" w:hAnsi="Arial" w:cs="Arial"/>
          <w:sz w:val="24"/>
          <w:szCs w:val="36"/>
        </w:rPr>
        <w:t>Malawi</w:t>
      </w:r>
    </w:p>
    <w:p w14:paraId="7AEF6427" w14:textId="3611F0BC" w:rsidR="00F7620C" w:rsidRDefault="00F7620C" w:rsidP="000E7DDA">
      <w:pPr>
        <w:spacing w:after="0" w:line="240" w:lineRule="auto"/>
      </w:pPr>
    </w:p>
    <w:p w14:paraId="694D3FB9" w14:textId="77777777" w:rsidR="008458FE" w:rsidRPr="002D5F14" w:rsidRDefault="008458FE" w:rsidP="000E7DDA">
      <w:pPr>
        <w:spacing w:after="0" w:line="240" w:lineRule="auto"/>
      </w:pPr>
    </w:p>
    <w:p w14:paraId="5D4B0AE0" w14:textId="1C021947" w:rsidR="00F7620C" w:rsidRPr="002D5F14" w:rsidRDefault="00F7620C" w:rsidP="00F7620C">
      <w:pPr>
        <w:spacing w:after="0" w:line="240" w:lineRule="auto"/>
        <w:ind w:firstLine="720"/>
        <w:rPr>
          <w:szCs w:val="24"/>
        </w:rPr>
      </w:pPr>
    </w:p>
    <w:p w14:paraId="7A7A1026" w14:textId="5C03FF48" w:rsidR="00F7620C" w:rsidRPr="008458FE" w:rsidRDefault="00242E46" w:rsidP="00EC3A77">
      <w:pPr>
        <w:pStyle w:val="Heading1"/>
        <w:rPr>
          <w:rFonts w:ascii="Arial" w:hAnsi="Arial" w:cs="Arial"/>
        </w:rPr>
      </w:pPr>
      <w:r w:rsidRPr="008458FE">
        <w:rPr>
          <w:rFonts w:ascii="Arial" w:hAnsi="Arial" w:cs="Arial"/>
          <w:sz w:val="28"/>
          <w:szCs w:val="28"/>
        </w:rPr>
        <w:t>Sharing GS1 based Item Master Data along with GTINs</w:t>
      </w:r>
    </w:p>
    <w:p w14:paraId="3ABDD75C" w14:textId="77777777" w:rsidR="008458FE" w:rsidRDefault="008458FE" w:rsidP="00F7620C">
      <w:pPr>
        <w:rPr>
          <w:rFonts w:ascii="Arial" w:hAnsi="Arial" w:cs="Arial"/>
          <w:sz w:val="24"/>
          <w:szCs w:val="32"/>
        </w:rPr>
      </w:pPr>
    </w:p>
    <w:p w14:paraId="2B0E61DC" w14:textId="213EADFD" w:rsidR="00242E46" w:rsidRPr="008458FE" w:rsidRDefault="00242E46" w:rsidP="00F7620C">
      <w:pPr>
        <w:rPr>
          <w:rFonts w:ascii="Arial" w:hAnsi="Arial" w:cs="Arial"/>
          <w:sz w:val="24"/>
          <w:szCs w:val="32"/>
        </w:rPr>
      </w:pPr>
      <w:r w:rsidRPr="008458FE">
        <w:rPr>
          <w:rFonts w:ascii="Arial" w:hAnsi="Arial" w:cs="Arial"/>
          <w:sz w:val="24"/>
          <w:szCs w:val="32"/>
        </w:rPr>
        <w:t xml:space="preserve">One of the key objectives of </w:t>
      </w:r>
      <w:r w:rsidR="00BB70EC">
        <w:rPr>
          <w:rFonts w:ascii="Arial" w:hAnsi="Arial" w:cs="Arial"/>
          <w:sz w:val="24"/>
          <w:szCs w:val="32"/>
        </w:rPr>
        <w:t>t</w:t>
      </w:r>
      <w:r w:rsidRPr="008458FE">
        <w:rPr>
          <w:rFonts w:ascii="Arial" w:hAnsi="Arial" w:cs="Arial"/>
          <w:sz w:val="24"/>
          <w:szCs w:val="32"/>
        </w:rPr>
        <w:t>he Ministry of Health</w:t>
      </w:r>
      <w:r w:rsidR="004D14ED" w:rsidRPr="008458FE">
        <w:rPr>
          <w:rFonts w:ascii="Arial" w:hAnsi="Arial" w:cs="Arial"/>
          <w:sz w:val="24"/>
          <w:szCs w:val="32"/>
        </w:rPr>
        <w:t xml:space="preserve"> </w:t>
      </w:r>
      <w:r w:rsidRPr="008458FE">
        <w:rPr>
          <w:rFonts w:ascii="Arial" w:hAnsi="Arial" w:cs="Arial"/>
          <w:sz w:val="24"/>
          <w:szCs w:val="32"/>
        </w:rPr>
        <w:t>is to ensure the safety, quality and efficacy of health commodities while eliminating counterfeit pharmaceutical products from health supply chain. Traceability of health commodities is a critical step in achieving these objectives. In order to effectively trace health commodities, all the way from manufacturer to end consumers, the Ministry of Health</w:t>
      </w:r>
      <w:r w:rsidR="004D14ED" w:rsidRPr="008458FE">
        <w:rPr>
          <w:rFonts w:ascii="Arial" w:hAnsi="Arial" w:cs="Arial"/>
          <w:sz w:val="24"/>
          <w:szCs w:val="32"/>
        </w:rPr>
        <w:t xml:space="preserve"> </w:t>
      </w:r>
      <w:r w:rsidRPr="008458FE">
        <w:rPr>
          <w:rFonts w:ascii="Arial" w:hAnsi="Arial" w:cs="Arial"/>
          <w:sz w:val="24"/>
          <w:szCs w:val="32"/>
        </w:rPr>
        <w:t xml:space="preserve">needs access to standardized and accurate item master data. </w:t>
      </w:r>
    </w:p>
    <w:p w14:paraId="58358306" w14:textId="1950F3C0" w:rsidR="00242E46" w:rsidRPr="008458FE" w:rsidRDefault="00242E46" w:rsidP="00F7620C">
      <w:pPr>
        <w:rPr>
          <w:rFonts w:ascii="Arial" w:hAnsi="Arial" w:cs="Arial"/>
          <w:sz w:val="24"/>
          <w:szCs w:val="32"/>
        </w:rPr>
      </w:pPr>
      <w:r w:rsidRPr="008458FE">
        <w:rPr>
          <w:rFonts w:ascii="Arial" w:hAnsi="Arial" w:cs="Arial"/>
          <w:sz w:val="24"/>
          <w:szCs w:val="32"/>
        </w:rPr>
        <w:t>Item Master Data include health products</w:t>
      </w:r>
      <w:r w:rsidR="008458FE" w:rsidRPr="008458FE">
        <w:rPr>
          <w:rFonts w:ascii="Arial" w:hAnsi="Arial" w:cs="Arial"/>
          <w:sz w:val="24"/>
          <w:szCs w:val="32"/>
        </w:rPr>
        <w:t>’</w:t>
      </w:r>
      <w:r w:rsidRPr="008458FE">
        <w:rPr>
          <w:rFonts w:ascii="Arial" w:hAnsi="Arial" w:cs="Arial"/>
          <w:sz w:val="24"/>
          <w:szCs w:val="32"/>
        </w:rPr>
        <w:t xml:space="preserve"> Global Trade Item Number</w:t>
      </w:r>
      <w:r w:rsidR="008458FE" w:rsidRPr="008458FE">
        <w:rPr>
          <w:rFonts w:ascii="Arial" w:hAnsi="Arial" w:cs="Arial"/>
          <w:sz w:val="24"/>
          <w:szCs w:val="32"/>
        </w:rPr>
        <w:t>s</w:t>
      </w:r>
      <w:r w:rsidRPr="008458FE">
        <w:rPr>
          <w:rFonts w:ascii="Arial" w:hAnsi="Arial" w:cs="Arial"/>
          <w:sz w:val="24"/>
          <w:szCs w:val="32"/>
        </w:rPr>
        <w:t>, which uniquely identifies product</w:t>
      </w:r>
      <w:r w:rsidR="008458FE" w:rsidRPr="008458FE">
        <w:rPr>
          <w:rFonts w:ascii="Arial" w:hAnsi="Arial" w:cs="Arial"/>
          <w:sz w:val="24"/>
          <w:szCs w:val="32"/>
        </w:rPr>
        <w:t>s</w:t>
      </w:r>
      <w:r w:rsidRPr="008458FE">
        <w:rPr>
          <w:rFonts w:ascii="Arial" w:hAnsi="Arial" w:cs="Arial"/>
          <w:sz w:val="24"/>
          <w:szCs w:val="32"/>
        </w:rPr>
        <w:t xml:space="preserve"> across the entire supply chain, and other attributes that define the product distinctively. As the Ministry of Health adopts GS1 standards to manage health supply chain within </w:t>
      </w:r>
      <w:r w:rsidR="00686811">
        <w:rPr>
          <w:rFonts w:ascii="Arial" w:hAnsi="Arial" w:cs="Arial"/>
          <w:sz w:val="24"/>
          <w:szCs w:val="32"/>
        </w:rPr>
        <w:t>Malawi</w:t>
      </w:r>
      <w:r w:rsidRPr="008458FE">
        <w:rPr>
          <w:rFonts w:ascii="Arial" w:hAnsi="Arial" w:cs="Arial"/>
          <w:sz w:val="24"/>
          <w:szCs w:val="32"/>
        </w:rPr>
        <w:t xml:space="preserve">, accessibility to GS1 based </w:t>
      </w:r>
      <w:r w:rsidR="00D41C6D" w:rsidRPr="008458FE">
        <w:rPr>
          <w:rFonts w:ascii="Arial" w:hAnsi="Arial" w:cs="Arial"/>
          <w:sz w:val="24"/>
          <w:szCs w:val="32"/>
        </w:rPr>
        <w:t>item</w:t>
      </w:r>
      <w:r w:rsidRPr="008458FE">
        <w:rPr>
          <w:rFonts w:ascii="Arial" w:hAnsi="Arial" w:cs="Arial"/>
          <w:sz w:val="24"/>
          <w:szCs w:val="32"/>
        </w:rPr>
        <w:t xml:space="preserve"> master data is a critical first step. Standardized GS1 based item master data will,</w:t>
      </w:r>
    </w:p>
    <w:p w14:paraId="3FAA73FA" w14:textId="4606130C" w:rsidR="00242E46" w:rsidRPr="008458FE" w:rsidRDefault="00242E46" w:rsidP="00242E4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32"/>
        </w:rPr>
      </w:pPr>
      <w:r w:rsidRPr="008458FE">
        <w:rPr>
          <w:rFonts w:ascii="Arial" w:hAnsi="Arial" w:cs="Arial"/>
          <w:sz w:val="24"/>
          <w:szCs w:val="32"/>
        </w:rPr>
        <w:t>Help us improve operational efficiency, data quality and accuracy by being able to leverage GS1 barcodes on commodity packages</w:t>
      </w:r>
    </w:p>
    <w:p w14:paraId="72157B36" w14:textId="51819CB6" w:rsidR="00242E46" w:rsidRPr="008458FE" w:rsidRDefault="00242E46" w:rsidP="00242E4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32"/>
        </w:rPr>
      </w:pPr>
      <w:r w:rsidRPr="008458FE">
        <w:rPr>
          <w:rFonts w:ascii="Arial" w:hAnsi="Arial" w:cs="Arial"/>
          <w:sz w:val="24"/>
          <w:szCs w:val="32"/>
        </w:rPr>
        <w:t>Enable our in-country systems to interoperate with each other and with global platforms to share standardized data in a timely manner thus improving overall supply chain efficiency</w:t>
      </w:r>
    </w:p>
    <w:p w14:paraId="518D68DE" w14:textId="45BEEF73" w:rsidR="00242E46" w:rsidRPr="008458FE" w:rsidRDefault="00242E46" w:rsidP="00242E4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32"/>
        </w:rPr>
      </w:pPr>
      <w:r w:rsidRPr="008458FE">
        <w:rPr>
          <w:rFonts w:ascii="Arial" w:hAnsi="Arial" w:cs="Arial"/>
          <w:sz w:val="24"/>
          <w:szCs w:val="32"/>
        </w:rPr>
        <w:t xml:space="preserve">Ensure safety, quality and efficacy of health commodities by enabling commodity traceability </w:t>
      </w:r>
    </w:p>
    <w:p w14:paraId="2129F30F" w14:textId="51A3CC83" w:rsidR="00F7620C" w:rsidRPr="008458FE" w:rsidRDefault="00242E46" w:rsidP="00242E46">
      <w:pPr>
        <w:rPr>
          <w:rFonts w:ascii="Arial" w:hAnsi="Arial" w:cs="Arial"/>
          <w:sz w:val="24"/>
          <w:szCs w:val="32"/>
        </w:rPr>
      </w:pPr>
      <w:r w:rsidRPr="008458FE">
        <w:rPr>
          <w:rFonts w:ascii="Arial" w:hAnsi="Arial" w:cs="Arial"/>
          <w:sz w:val="24"/>
          <w:szCs w:val="32"/>
        </w:rPr>
        <w:lastRenderedPageBreak/>
        <w:t xml:space="preserve">In support of these objectives, the Ministry of Health seeks your organization’s support in providing </w:t>
      </w:r>
      <w:r w:rsidR="00D41C6D" w:rsidRPr="008458FE">
        <w:rPr>
          <w:rFonts w:ascii="Arial" w:hAnsi="Arial" w:cs="Arial"/>
          <w:sz w:val="24"/>
          <w:szCs w:val="32"/>
        </w:rPr>
        <w:t xml:space="preserve">us </w:t>
      </w:r>
      <w:r w:rsidRPr="008458FE">
        <w:rPr>
          <w:rFonts w:ascii="Arial" w:hAnsi="Arial" w:cs="Arial"/>
          <w:sz w:val="24"/>
          <w:szCs w:val="32"/>
        </w:rPr>
        <w:t xml:space="preserve">GS1 based item master data, at a minimum for those attributes listed in </w:t>
      </w:r>
      <w:r w:rsidRPr="008458FE">
        <w:rPr>
          <w:rFonts w:ascii="Arial" w:hAnsi="Arial" w:cs="Arial"/>
          <w:sz w:val="24"/>
          <w:szCs w:val="32"/>
          <w:u w:val="single"/>
        </w:rPr>
        <w:t>Attachment 1</w:t>
      </w:r>
      <w:r w:rsidRPr="008458FE">
        <w:rPr>
          <w:rFonts w:ascii="Arial" w:hAnsi="Arial" w:cs="Arial"/>
          <w:sz w:val="24"/>
          <w:szCs w:val="32"/>
        </w:rPr>
        <w:t xml:space="preserve">, for all commodities supplied by your organization to </w:t>
      </w:r>
      <w:r w:rsidR="00686811">
        <w:rPr>
          <w:rFonts w:ascii="Arial" w:hAnsi="Arial" w:cs="Arial"/>
          <w:sz w:val="24"/>
          <w:szCs w:val="32"/>
        </w:rPr>
        <w:t>Malawi</w:t>
      </w:r>
      <w:r w:rsidRPr="008458FE">
        <w:rPr>
          <w:rFonts w:ascii="Arial" w:hAnsi="Arial" w:cs="Arial"/>
          <w:sz w:val="24"/>
          <w:szCs w:val="32"/>
        </w:rPr>
        <w:t>.</w:t>
      </w:r>
      <w:r w:rsidR="008458FE" w:rsidRPr="008458FE">
        <w:rPr>
          <w:rFonts w:ascii="Arial" w:hAnsi="Arial" w:cs="Arial"/>
          <w:sz w:val="24"/>
          <w:szCs w:val="32"/>
        </w:rPr>
        <w:t xml:space="preserve"> This data can be shared in a spreadsheet through email to </w:t>
      </w:r>
      <w:r w:rsidR="008458FE" w:rsidRPr="008458FE">
        <w:rPr>
          <w:rFonts w:ascii="Arial" w:hAnsi="Arial" w:cs="Arial"/>
          <w:i/>
          <w:iCs/>
          <w:color w:val="0070C0"/>
          <w:sz w:val="24"/>
          <w:szCs w:val="32"/>
        </w:rPr>
        <w:t>&lt;email address&gt;</w:t>
      </w:r>
      <w:r w:rsidR="008458FE" w:rsidRPr="008458FE">
        <w:rPr>
          <w:rFonts w:ascii="Arial" w:hAnsi="Arial" w:cs="Arial"/>
          <w:sz w:val="24"/>
          <w:szCs w:val="32"/>
        </w:rPr>
        <w:t>.</w:t>
      </w:r>
    </w:p>
    <w:p w14:paraId="5D0DF069" w14:textId="77777777" w:rsidR="008458FE" w:rsidRPr="008458FE" w:rsidRDefault="008458FE" w:rsidP="00F7620C">
      <w:pPr>
        <w:tabs>
          <w:tab w:val="left" w:pos="4950"/>
        </w:tabs>
        <w:rPr>
          <w:rFonts w:ascii="Arial" w:hAnsi="Arial" w:cs="Arial"/>
          <w:sz w:val="24"/>
          <w:szCs w:val="32"/>
        </w:rPr>
      </w:pPr>
    </w:p>
    <w:p w14:paraId="784E1A58" w14:textId="620E638D" w:rsidR="00F7620C" w:rsidRPr="008458FE" w:rsidRDefault="000E7DDA" w:rsidP="00F7620C">
      <w:pPr>
        <w:tabs>
          <w:tab w:val="left" w:pos="4950"/>
        </w:tabs>
        <w:rPr>
          <w:rFonts w:ascii="Arial" w:hAnsi="Arial" w:cs="Arial"/>
          <w:sz w:val="24"/>
          <w:szCs w:val="32"/>
        </w:rPr>
      </w:pPr>
      <w:r w:rsidRPr="008458FE">
        <w:rPr>
          <w:rFonts w:ascii="Arial" w:hAnsi="Arial" w:cs="Arial"/>
          <w:sz w:val="24"/>
          <w:szCs w:val="32"/>
        </w:rPr>
        <w:t>S</w:t>
      </w:r>
      <w:r w:rsidR="00F7620C" w:rsidRPr="008458FE">
        <w:rPr>
          <w:rFonts w:ascii="Arial" w:hAnsi="Arial" w:cs="Arial"/>
          <w:sz w:val="24"/>
          <w:szCs w:val="32"/>
        </w:rPr>
        <w:t>ign</w:t>
      </w:r>
      <w:r w:rsidRPr="008458FE">
        <w:rPr>
          <w:rFonts w:ascii="Arial" w:hAnsi="Arial" w:cs="Arial"/>
          <w:sz w:val="24"/>
          <w:szCs w:val="32"/>
        </w:rPr>
        <w:t>ature</w:t>
      </w:r>
      <w:r w:rsidR="00F7620C" w:rsidRPr="008458FE">
        <w:rPr>
          <w:rFonts w:ascii="Arial" w:hAnsi="Arial" w:cs="Arial"/>
          <w:sz w:val="24"/>
          <w:szCs w:val="3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7"/>
        <w:gridCol w:w="4965"/>
      </w:tblGrid>
      <w:tr w:rsidR="00F7620C" w:rsidRPr="008458FE" w14:paraId="4C9AD634" w14:textId="77777777" w:rsidTr="008458FE">
        <w:trPr>
          <w:trHeight w:val="1233"/>
        </w:trPr>
        <w:tc>
          <w:tcPr>
            <w:tcW w:w="5007" w:type="dxa"/>
          </w:tcPr>
          <w:p w14:paraId="3D7ACC0D" w14:textId="77777777" w:rsidR="00F7620C" w:rsidRPr="008458FE" w:rsidRDefault="00F7620C" w:rsidP="00490601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4"/>
                <w:szCs w:val="21"/>
              </w:rPr>
            </w:pPr>
          </w:p>
          <w:p w14:paraId="40839402" w14:textId="77777777" w:rsidR="00F7620C" w:rsidRPr="008458FE" w:rsidRDefault="00F7620C" w:rsidP="00490601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4"/>
                <w:szCs w:val="21"/>
              </w:rPr>
            </w:pPr>
          </w:p>
          <w:p w14:paraId="12D1DA16" w14:textId="77777777" w:rsidR="00F7620C" w:rsidRPr="008458FE" w:rsidRDefault="00F7620C" w:rsidP="00490601">
            <w:pPr>
              <w:pStyle w:val="BodyText"/>
              <w:tabs>
                <w:tab w:val="clear" w:pos="0"/>
                <w:tab w:val="clear" w:pos="456"/>
                <w:tab w:val="clear" w:pos="819"/>
                <w:tab w:val="clear" w:pos="1184"/>
                <w:tab w:val="left" w:pos="900"/>
                <w:tab w:val="right" w:pos="430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1"/>
              </w:rPr>
            </w:pPr>
            <w:r w:rsidRPr="008458FE">
              <w:rPr>
                <w:rFonts w:ascii="Arial" w:hAnsi="Arial" w:cs="Arial"/>
                <w:sz w:val="24"/>
                <w:szCs w:val="21"/>
              </w:rPr>
              <w:t xml:space="preserve">By: </w:t>
            </w:r>
            <w:r w:rsidRPr="008458FE">
              <w:rPr>
                <w:rFonts w:ascii="Arial" w:hAnsi="Arial" w:cs="Arial"/>
                <w:sz w:val="24"/>
                <w:szCs w:val="21"/>
                <w:u w:val="single"/>
              </w:rPr>
              <w:tab/>
            </w:r>
            <w:r w:rsidRPr="008458FE">
              <w:rPr>
                <w:rFonts w:ascii="Arial" w:hAnsi="Arial" w:cs="Arial"/>
                <w:sz w:val="24"/>
                <w:szCs w:val="21"/>
                <w:u w:val="single"/>
              </w:rPr>
              <w:tab/>
            </w:r>
          </w:p>
          <w:p w14:paraId="17A82ACD" w14:textId="77777777" w:rsidR="00F7620C" w:rsidRPr="008458FE" w:rsidRDefault="00F7620C" w:rsidP="00490601">
            <w:pPr>
              <w:pStyle w:val="BodyText"/>
              <w:tabs>
                <w:tab w:val="clear" w:pos="0"/>
                <w:tab w:val="clear" w:pos="456"/>
                <w:tab w:val="clear" w:pos="819"/>
                <w:tab w:val="clear" w:pos="1184"/>
                <w:tab w:val="left" w:pos="720"/>
                <w:tab w:val="right" w:pos="430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1"/>
                <w:u w:val="single"/>
              </w:rPr>
            </w:pPr>
            <w:r w:rsidRPr="008458FE">
              <w:rPr>
                <w:rFonts w:ascii="Arial" w:hAnsi="Arial" w:cs="Arial"/>
                <w:sz w:val="24"/>
                <w:szCs w:val="21"/>
              </w:rPr>
              <w:t>Name:</w:t>
            </w:r>
            <w:r w:rsidRPr="008458FE">
              <w:rPr>
                <w:rFonts w:ascii="Arial" w:hAnsi="Arial" w:cs="Arial"/>
                <w:sz w:val="24"/>
                <w:szCs w:val="21"/>
              </w:rPr>
              <w:tab/>
            </w:r>
            <w:r w:rsidRPr="008458FE">
              <w:rPr>
                <w:rFonts w:ascii="Arial" w:hAnsi="Arial" w:cs="Arial"/>
                <w:sz w:val="24"/>
                <w:szCs w:val="21"/>
                <w:u w:val="single"/>
              </w:rPr>
              <w:tab/>
            </w:r>
          </w:p>
          <w:p w14:paraId="297EC5C7" w14:textId="77777777" w:rsidR="00F7620C" w:rsidRPr="008458FE" w:rsidRDefault="00F7620C" w:rsidP="00490601">
            <w:pPr>
              <w:pStyle w:val="BodyText"/>
              <w:tabs>
                <w:tab w:val="clear" w:pos="0"/>
                <w:tab w:val="clear" w:pos="456"/>
                <w:tab w:val="clear" w:pos="819"/>
                <w:tab w:val="clear" w:pos="1184"/>
                <w:tab w:val="left" w:pos="720"/>
                <w:tab w:val="right" w:pos="430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1"/>
              </w:rPr>
            </w:pPr>
            <w:r w:rsidRPr="008458FE">
              <w:rPr>
                <w:rFonts w:ascii="Arial" w:hAnsi="Arial" w:cs="Arial"/>
                <w:sz w:val="24"/>
                <w:szCs w:val="21"/>
              </w:rPr>
              <w:t>Title:</w:t>
            </w:r>
            <w:r w:rsidRPr="008458FE">
              <w:rPr>
                <w:rFonts w:ascii="Arial" w:hAnsi="Arial" w:cs="Arial"/>
                <w:sz w:val="24"/>
                <w:szCs w:val="21"/>
              </w:rPr>
              <w:tab/>
            </w:r>
            <w:r w:rsidRPr="008458FE">
              <w:rPr>
                <w:rFonts w:ascii="Arial" w:hAnsi="Arial" w:cs="Arial"/>
                <w:sz w:val="24"/>
                <w:szCs w:val="21"/>
                <w:u w:val="single"/>
              </w:rPr>
              <w:tab/>
            </w:r>
          </w:p>
          <w:p w14:paraId="7F762BD2" w14:textId="77777777" w:rsidR="00F7620C" w:rsidRPr="008458FE" w:rsidRDefault="00F7620C" w:rsidP="00490601">
            <w:pPr>
              <w:pStyle w:val="BodyText"/>
              <w:tabs>
                <w:tab w:val="clear" w:pos="0"/>
                <w:tab w:val="clear" w:pos="456"/>
                <w:tab w:val="clear" w:pos="819"/>
                <w:tab w:val="clear" w:pos="1184"/>
                <w:tab w:val="left" w:pos="720"/>
                <w:tab w:val="right" w:pos="430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1"/>
              </w:rPr>
            </w:pPr>
            <w:r w:rsidRPr="008458FE">
              <w:rPr>
                <w:rFonts w:ascii="Arial" w:hAnsi="Arial" w:cs="Arial"/>
                <w:sz w:val="24"/>
                <w:szCs w:val="21"/>
              </w:rPr>
              <w:t>Date:</w:t>
            </w:r>
            <w:r w:rsidRPr="008458FE">
              <w:rPr>
                <w:rFonts w:ascii="Arial" w:hAnsi="Arial" w:cs="Arial"/>
                <w:sz w:val="24"/>
                <w:szCs w:val="21"/>
              </w:rPr>
              <w:tab/>
            </w:r>
            <w:r w:rsidRPr="008458FE">
              <w:rPr>
                <w:rFonts w:ascii="Arial" w:hAnsi="Arial" w:cs="Arial"/>
                <w:sz w:val="24"/>
                <w:szCs w:val="21"/>
                <w:u w:val="single"/>
              </w:rPr>
              <w:tab/>
            </w:r>
          </w:p>
        </w:tc>
        <w:tc>
          <w:tcPr>
            <w:tcW w:w="4965" w:type="dxa"/>
          </w:tcPr>
          <w:p w14:paraId="081945E3" w14:textId="1EB0238E" w:rsidR="00F7620C" w:rsidRPr="008458FE" w:rsidRDefault="00F7620C" w:rsidP="00490601">
            <w:pPr>
              <w:pStyle w:val="BodyText"/>
              <w:tabs>
                <w:tab w:val="clear" w:pos="0"/>
                <w:tab w:val="clear" w:pos="456"/>
                <w:tab w:val="clear" w:pos="819"/>
                <w:tab w:val="clear" w:pos="1184"/>
                <w:tab w:val="left" w:pos="705"/>
                <w:tab w:val="right" w:pos="4473"/>
                <w:tab w:val="right" w:pos="46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1"/>
              </w:rPr>
            </w:pPr>
          </w:p>
        </w:tc>
      </w:tr>
    </w:tbl>
    <w:p w14:paraId="6B186054" w14:textId="77777777" w:rsidR="00F7620C" w:rsidRPr="008458FE" w:rsidRDefault="00F7620C" w:rsidP="00F7620C">
      <w:pPr>
        <w:spacing w:before="120"/>
        <w:rPr>
          <w:rFonts w:ascii="Arial" w:hAnsi="Arial" w:cs="Arial"/>
          <w:sz w:val="24"/>
          <w:szCs w:val="32"/>
        </w:rPr>
      </w:pPr>
    </w:p>
    <w:bookmarkEnd w:id="0"/>
    <w:p w14:paraId="6F5FB9F1" w14:textId="2C256B0A" w:rsidR="00F7620C" w:rsidRPr="008458FE" w:rsidRDefault="00F7620C">
      <w:pPr>
        <w:spacing w:line="259" w:lineRule="auto"/>
        <w:rPr>
          <w:rFonts w:ascii="Arial" w:hAnsi="Arial" w:cs="Arial"/>
          <w:sz w:val="24"/>
          <w:szCs w:val="32"/>
        </w:rPr>
      </w:pPr>
      <w:r w:rsidRPr="008458FE">
        <w:rPr>
          <w:rFonts w:ascii="Arial" w:hAnsi="Arial" w:cs="Arial"/>
          <w:sz w:val="24"/>
          <w:szCs w:val="32"/>
        </w:rPr>
        <w:br w:type="page"/>
      </w:r>
    </w:p>
    <w:p w14:paraId="0B90A1E0" w14:textId="77777777" w:rsidR="00702974" w:rsidRDefault="00702974" w:rsidP="00EC3A77">
      <w:pPr>
        <w:pStyle w:val="Sectiontitle"/>
        <w:jc w:val="center"/>
        <w:rPr>
          <w:rFonts w:ascii="Arial" w:hAnsi="Arial" w:cs="Arial"/>
          <w:sz w:val="24"/>
          <w:szCs w:val="180"/>
        </w:rPr>
        <w:sectPr w:rsidR="00702974" w:rsidSect="00D41C6D">
          <w:headerReference w:type="default" r:id="rId9"/>
          <w:type w:val="continuous"/>
          <w:pgSz w:w="12240" w:h="15840" w:code="1"/>
          <w:pgMar w:top="1485" w:right="1134" w:bottom="1350" w:left="1134" w:header="720" w:footer="335" w:gutter="0"/>
          <w:cols w:space="720"/>
          <w:docGrid w:linePitch="360"/>
        </w:sectPr>
      </w:pPr>
      <w:bookmarkStart w:id="1" w:name="_Hlk33795732"/>
    </w:p>
    <w:p w14:paraId="6EAEC351" w14:textId="7664940D" w:rsidR="00F7620C" w:rsidRPr="008458FE" w:rsidRDefault="00F7620C" w:rsidP="00EC3A77">
      <w:pPr>
        <w:pStyle w:val="Sectiontitle"/>
        <w:jc w:val="center"/>
        <w:rPr>
          <w:rFonts w:ascii="Arial" w:hAnsi="Arial" w:cs="Arial"/>
          <w:sz w:val="24"/>
          <w:szCs w:val="180"/>
        </w:rPr>
      </w:pPr>
      <w:r w:rsidRPr="008458FE">
        <w:rPr>
          <w:rFonts w:ascii="Arial" w:hAnsi="Arial" w:cs="Arial"/>
          <w:sz w:val="24"/>
          <w:szCs w:val="180"/>
        </w:rPr>
        <w:lastRenderedPageBreak/>
        <w:t xml:space="preserve">Attachment 1: </w:t>
      </w:r>
      <w:r w:rsidR="000E7DDA" w:rsidRPr="008458FE">
        <w:rPr>
          <w:rFonts w:ascii="Arial" w:hAnsi="Arial" w:cs="Arial"/>
          <w:sz w:val="24"/>
          <w:szCs w:val="180"/>
        </w:rPr>
        <w:t>Gs1</w:t>
      </w:r>
      <w:r w:rsidRPr="008458FE">
        <w:rPr>
          <w:rFonts w:ascii="Arial" w:hAnsi="Arial" w:cs="Arial"/>
          <w:sz w:val="24"/>
          <w:szCs w:val="180"/>
        </w:rPr>
        <w:t xml:space="preserve"> </w:t>
      </w:r>
      <w:r w:rsidR="000E7DDA" w:rsidRPr="008458FE">
        <w:rPr>
          <w:rFonts w:ascii="Arial" w:hAnsi="Arial" w:cs="Arial"/>
          <w:sz w:val="24"/>
          <w:szCs w:val="180"/>
        </w:rPr>
        <w:t>Item Master Data</w:t>
      </w:r>
      <w:r w:rsidRPr="008458FE">
        <w:rPr>
          <w:rFonts w:ascii="Arial" w:hAnsi="Arial" w:cs="Arial"/>
          <w:sz w:val="24"/>
          <w:szCs w:val="180"/>
        </w:rPr>
        <w:t xml:space="preserve"> Attributes</w:t>
      </w:r>
    </w:p>
    <w:tbl>
      <w:tblPr>
        <w:tblW w:w="9952" w:type="dxa"/>
        <w:tblLook w:val="04A0" w:firstRow="1" w:lastRow="0" w:firstColumn="1" w:lastColumn="0" w:noHBand="0" w:noVBand="1"/>
      </w:tblPr>
      <w:tblGrid>
        <w:gridCol w:w="2074"/>
        <w:gridCol w:w="5496"/>
        <w:gridCol w:w="2382"/>
      </w:tblGrid>
      <w:tr w:rsidR="004B0C99" w:rsidRPr="004B0C99" w14:paraId="192C9238" w14:textId="77777777" w:rsidTr="004B0C99">
        <w:trPr>
          <w:trHeight w:val="360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1"/>
          <w:p w14:paraId="2F351757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b/>
                <w:bCs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D2E1D" w14:textId="11231469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b/>
                <w:bCs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b/>
                <w:bCs/>
                <w:sz w:val="24"/>
                <w:szCs w:val="24"/>
              </w:rPr>
              <w:t xml:space="preserve">Attributes 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EC948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b/>
                <w:bCs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b/>
                <w:bCs/>
                <w:sz w:val="24"/>
                <w:szCs w:val="24"/>
              </w:rPr>
              <w:t>Example</w:t>
            </w:r>
          </w:p>
        </w:tc>
      </w:tr>
      <w:tr w:rsidR="004B0C99" w:rsidRPr="004B0C99" w14:paraId="4E291FB5" w14:textId="77777777" w:rsidTr="004B0C99">
        <w:trPr>
          <w:trHeight w:val="680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2379F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GENERAL ITEM INFORMATION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C154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Item Id</w:t>
            </w: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br/>
              <w:t>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gtin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182F1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5410013107231</w:t>
            </w:r>
          </w:p>
        </w:tc>
      </w:tr>
      <w:tr w:rsidR="004B0C99" w:rsidRPr="004B0C99" w14:paraId="250E5242" w14:textId="77777777" w:rsidTr="004B0C99">
        <w:trPr>
          <w:trHeight w:val="680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B23986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8A31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Hierarchy level</w:t>
            </w: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br/>
              <w:t>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tradeItemUnitDescriptorCode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362B3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i/>
                <w:iCs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i/>
                <w:iCs/>
                <w:sz w:val="24"/>
                <w:szCs w:val="24"/>
              </w:rPr>
              <w:t>BASE_UNIT_OR_EACH</w:t>
            </w:r>
          </w:p>
        </w:tc>
      </w:tr>
      <w:tr w:rsidR="004B0C99" w:rsidRPr="004B0C99" w14:paraId="29BF5C07" w14:textId="77777777" w:rsidTr="004B0C99">
        <w:trPr>
          <w:trHeight w:val="780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7670AA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F690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Brand Name</w:t>
            </w: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br/>
              <w:t>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brandName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BACC1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proofErr w:type="spellStart"/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Healthchoice</w:t>
            </w:r>
            <w:proofErr w:type="spellEnd"/>
          </w:p>
        </w:tc>
      </w:tr>
      <w:tr w:rsidR="004B0C99" w:rsidRPr="004B0C99" w14:paraId="47736784" w14:textId="77777777" w:rsidTr="004B0C99">
        <w:trPr>
          <w:trHeight w:val="680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3A5262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4B46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Functional Name</w:t>
            </w: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br/>
              <w:t>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functionalName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F95D2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 xml:space="preserve">Self-care </w:t>
            </w:r>
            <w:proofErr w:type="spellStart"/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medicin</w:t>
            </w:r>
            <w:proofErr w:type="spellEnd"/>
          </w:p>
        </w:tc>
      </w:tr>
      <w:tr w:rsidR="004B0C99" w:rsidRPr="004B0C99" w14:paraId="72252D84" w14:textId="77777777" w:rsidTr="004B0C99">
        <w:trPr>
          <w:trHeight w:val="1250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6FEB5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31BA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 xml:space="preserve">Country </w:t>
            </w:r>
            <w:proofErr w:type="gram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Of</w:t>
            </w:r>
            <w:proofErr w:type="gram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 xml:space="preserve"> Origin</w:t>
            </w: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br/>
              <w:t>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placeOfProductActivity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/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countryOfOrigin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/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countryCode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EB3D0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i/>
                <w:iCs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i/>
                <w:iCs/>
                <w:sz w:val="24"/>
                <w:szCs w:val="24"/>
              </w:rPr>
              <w:t>528 (Netherlands)</w:t>
            </w:r>
          </w:p>
        </w:tc>
      </w:tr>
      <w:tr w:rsidR="004B0C99" w:rsidRPr="004B0C99" w14:paraId="12A4B909" w14:textId="77777777" w:rsidTr="004B0C99">
        <w:trPr>
          <w:trHeight w:val="1060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023EE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PRODUCT DESCRIPTION INFORMATION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286A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Product Description</w:t>
            </w: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br/>
              <w:t xml:space="preserve">   </w:t>
            </w:r>
            <w:proofErr w:type="gram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tradeItemDescription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6B3C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  <w:proofErr w:type="spellStart"/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Healthchoice</w:t>
            </w:r>
            <w:proofErr w:type="spellEnd"/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 xml:space="preserve"> Classic 3pc Hip Replacement kit 200 mm</w:t>
            </w:r>
          </w:p>
        </w:tc>
      </w:tr>
      <w:tr w:rsidR="004B0C99" w:rsidRPr="004B0C99" w14:paraId="6043EA94" w14:textId="77777777" w:rsidTr="004B0C99">
        <w:trPr>
          <w:trHeight w:val="680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B58BF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865B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Manufacturer GLN 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manufacturerOfTradeItem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/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gln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72B45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8712345012502</w:t>
            </w:r>
          </w:p>
        </w:tc>
      </w:tr>
      <w:tr w:rsidR="004B0C99" w:rsidRPr="004B0C99" w14:paraId="6C4F32BE" w14:textId="77777777" w:rsidTr="004B0C99">
        <w:trPr>
          <w:trHeight w:val="899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8B1AFD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32F9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Manufacturer Name 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manufacturerOfTradeItem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/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partyName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B7D34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Health choice B.V.</w:t>
            </w:r>
          </w:p>
        </w:tc>
      </w:tr>
      <w:tr w:rsidR="004B0C99" w:rsidRPr="004B0C99" w14:paraId="343713BE" w14:textId="77777777" w:rsidTr="004B0C99">
        <w:trPr>
          <w:trHeight w:val="520"/>
        </w:trPr>
        <w:tc>
          <w:tcPr>
            <w:tcW w:w="1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A90CB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PHARMACEUTICAL INFORMATION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99A1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Dosage Form 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dosageFormTypeCodeReference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FA62F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Tablet</w:t>
            </w:r>
          </w:p>
        </w:tc>
      </w:tr>
      <w:tr w:rsidR="004B0C99" w:rsidRPr="004B0C99" w14:paraId="73C30C3B" w14:textId="77777777" w:rsidTr="004B0C99">
        <w:trPr>
          <w:trHeight w:val="817"/>
        </w:trPr>
        <w:tc>
          <w:tcPr>
            <w:tcW w:w="1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D427B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3615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Route of Administration Description 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enumerationValueDescription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3B5D3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Oral</w:t>
            </w:r>
          </w:p>
        </w:tc>
      </w:tr>
      <w:tr w:rsidR="004B0C99" w:rsidRPr="004B0C99" w14:paraId="26A8A17A" w14:textId="77777777" w:rsidTr="004B0C99">
        <w:trPr>
          <w:trHeight w:val="934"/>
        </w:trPr>
        <w:tc>
          <w:tcPr>
            <w:tcW w:w="19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3690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HIERARCHY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E0FF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 xml:space="preserve">Child Item </w:t>
            </w: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br/>
              <w:t>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gTIN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 xml:space="preserve"> (child) 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nextLowerLevelTradeItemInformation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A5055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8799999999995</w:t>
            </w:r>
          </w:p>
        </w:tc>
      </w:tr>
      <w:tr w:rsidR="004B0C99" w:rsidRPr="004B0C99" w14:paraId="2E1D8F17" w14:textId="77777777" w:rsidTr="004B0C99">
        <w:trPr>
          <w:trHeight w:val="719"/>
        </w:trPr>
        <w:tc>
          <w:tcPr>
            <w:tcW w:w="1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477B92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5700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Total Quantity of Next Lower Level Trade Item 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totalQuantityOfNextLowerLevelTradeItem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24EFF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100</w:t>
            </w:r>
          </w:p>
        </w:tc>
      </w:tr>
      <w:tr w:rsidR="004B0C99" w:rsidRPr="004B0C99" w14:paraId="22A45880" w14:textId="77777777" w:rsidTr="004B0C99">
        <w:trPr>
          <w:trHeight w:val="1040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721F9" w14:textId="77777777" w:rsidR="004B0C99" w:rsidRPr="004B0C99" w:rsidRDefault="004B0C99" w:rsidP="004B0C99">
            <w:pPr>
              <w:spacing w:after="0" w:line="240" w:lineRule="auto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SHELF LIFE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2547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Shelf Life from Production (</w:t>
            </w:r>
            <w:proofErr w:type="spellStart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minimumTradeItemLifespanFromTimeOfProduction</w:t>
            </w:r>
            <w:proofErr w:type="spellEnd"/>
            <w:r w:rsidRPr="004B0C99">
              <w:rPr>
                <w:rFonts w:ascii="IBM Plex Sans" w:eastAsia="Times New Roman" w:hAnsi="IBM Plex Sans" w:cs="Calibri"/>
                <w:color w:val="4472C4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C3C6" w14:textId="77777777" w:rsidR="004B0C99" w:rsidRPr="004B0C99" w:rsidRDefault="004B0C99" w:rsidP="004B0C99">
            <w:pPr>
              <w:spacing w:after="0" w:line="240" w:lineRule="auto"/>
              <w:jc w:val="center"/>
              <w:rPr>
                <w:rFonts w:ascii="IBM Plex Sans" w:eastAsia="Times New Roman" w:hAnsi="IBM Plex Sans" w:cs="Calibri"/>
                <w:sz w:val="24"/>
                <w:szCs w:val="24"/>
              </w:rPr>
            </w:pPr>
            <w:r w:rsidRPr="004B0C99">
              <w:rPr>
                <w:rFonts w:ascii="IBM Plex Sans" w:eastAsia="Times New Roman" w:hAnsi="IBM Plex Sans" w:cs="Calibri"/>
                <w:sz w:val="24"/>
                <w:szCs w:val="24"/>
              </w:rPr>
              <w:t>720</w:t>
            </w:r>
          </w:p>
        </w:tc>
      </w:tr>
    </w:tbl>
    <w:p w14:paraId="32883746" w14:textId="79A2CE76" w:rsidR="00775DEF" w:rsidRPr="00F7620C" w:rsidRDefault="00775DEF" w:rsidP="004B0C99"/>
    <w:sectPr w:rsidR="00775DEF" w:rsidRPr="00F7620C" w:rsidSect="00702974">
      <w:pgSz w:w="12240" w:h="15840" w:code="1"/>
      <w:pgMar w:top="1485" w:right="1134" w:bottom="1350" w:left="1134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8773B" w14:textId="77777777" w:rsidR="00C5118D" w:rsidRDefault="00C5118D" w:rsidP="00E8375D">
      <w:pPr>
        <w:spacing w:after="0" w:line="240" w:lineRule="auto"/>
      </w:pPr>
      <w:r>
        <w:separator/>
      </w:r>
    </w:p>
  </w:endnote>
  <w:endnote w:type="continuationSeparator" w:id="0">
    <w:p w14:paraId="02C62B2E" w14:textId="77777777" w:rsidR="00C5118D" w:rsidRDefault="00C5118D" w:rsidP="00E8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6E18B" w14:textId="77777777" w:rsidR="00C5118D" w:rsidRDefault="00C5118D" w:rsidP="00E8375D">
      <w:pPr>
        <w:spacing w:after="0" w:line="240" w:lineRule="auto"/>
      </w:pPr>
      <w:r>
        <w:separator/>
      </w:r>
    </w:p>
  </w:footnote>
  <w:footnote w:type="continuationSeparator" w:id="0">
    <w:p w14:paraId="4F79450F" w14:textId="77777777" w:rsidR="00C5118D" w:rsidRDefault="00C5118D" w:rsidP="00E8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1135E" w14:textId="247E3160" w:rsidR="001326C3" w:rsidRDefault="00132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1707"/>
    <w:multiLevelType w:val="hybridMultilevel"/>
    <w:tmpl w:val="5E36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02C7"/>
    <w:multiLevelType w:val="hybridMultilevel"/>
    <w:tmpl w:val="9BEE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6446"/>
    <w:multiLevelType w:val="hybridMultilevel"/>
    <w:tmpl w:val="2C84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46DF"/>
    <w:multiLevelType w:val="hybridMultilevel"/>
    <w:tmpl w:val="4F5E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B14E4"/>
    <w:multiLevelType w:val="hybridMultilevel"/>
    <w:tmpl w:val="3DAC5C0C"/>
    <w:lvl w:ilvl="0" w:tplc="14A20C68">
      <w:start w:val="1"/>
      <w:numFmt w:val="bullet"/>
      <w:pStyle w:val="BulletList"/>
      <w:lvlText w:val="›"/>
      <w:lvlJc w:val="left"/>
      <w:pPr>
        <w:ind w:left="720" w:hanging="360"/>
      </w:pPr>
      <w:rPr>
        <w:rFonts w:ascii="Trebuchet MS" w:hAnsi="Trebuchet MS" w:hint="default"/>
        <w:b/>
        <w:i w:val="0"/>
        <w:color w:val="5C9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64ABA"/>
    <w:multiLevelType w:val="hybridMultilevel"/>
    <w:tmpl w:val="7A64C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8"/>
    <w:rsid w:val="00023E6F"/>
    <w:rsid w:val="00030237"/>
    <w:rsid w:val="00032112"/>
    <w:rsid w:val="00060888"/>
    <w:rsid w:val="00070D81"/>
    <w:rsid w:val="00096746"/>
    <w:rsid w:val="000B011E"/>
    <w:rsid w:val="000C46A8"/>
    <w:rsid w:val="000E7DDA"/>
    <w:rsid w:val="00113987"/>
    <w:rsid w:val="001326C3"/>
    <w:rsid w:val="00137C94"/>
    <w:rsid w:val="00142960"/>
    <w:rsid w:val="00180D06"/>
    <w:rsid w:val="00242E46"/>
    <w:rsid w:val="00243C0F"/>
    <w:rsid w:val="00247931"/>
    <w:rsid w:val="00254DB0"/>
    <w:rsid w:val="00270702"/>
    <w:rsid w:val="002D23A8"/>
    <w:rsid w:val="002D5F14"/>
    <w:rsid w:val="002D6475"/>
    <w:rsid w:val="002F7C70"/>
    <w:rsid w:val="0033248A"/>
    <w:rsid w:val="00366F77"/>
    <w:rsid w:val="003806C0"/>
    <w:rsid w:val="00390071"/>
    <w:rsid w:val="003B6CC3"/>
    <w:rsid w:val="003C6B50"/>
    <w:rsid w:val="004052D2"/>
    <w:rsid w:val="004153B2"/>
    <w:rsid w:val="00451C4A"/>
    <w:rsid w:val="00461C0E"/>
    <w:rsid w:val="00490601"/>
    <w:rsid w:val="004A6113"/>
    <w:rsid w:val="004B0C99"/>
    <w:rsid w:val="004B6362"/>
    <w:rsid w:val="004B789D"/>
    <w:rsid w:val="004C1676"/>
    <w:rsid w:val="004C1BCC"/>
    <w:rsid w:val="004D14ED"/>
    <w:rsid w:val="00505919"/>
    <w:rsid w:val="005275EE"/>
    <w:rsid w:val="005441FA"/>
    <w:rsid w:val="0055141B"/>
    <w:rsid w:val="005628AF"/>
    <w:rsid w:val="005827EB"/>
    <w:rsid w:val="00591F92"/>
    <w:rsid w:val="005E3124"/>
    <w:rsid w:val="00616CF8"/>
    <w:rsid w:val="00686811"/>
    <w:rsid w:val="006A3EBD"/>
    <w:rsid w:val="006E2D42"/>
    <w:rsid w:val="006E6CD4"/>
    <w:rsid w:val="00702974"/>
    <w:rsid w:val="00715FB5"/>
    <w:rsid w:val="00730AE1"/>
    <w:rsid w:val="0073400A"/>
    <w:rsid w:val="00743EC1"/>
    <w:rsid w:val="00754C41"/>
    <w:rsid w:val="00775DEF"/>
    <w:rsid w:val="00784F1F"/>
    <w:rsid w:val="00795BE4"/>
    <w:rsid w:val="007A45E7"/>
    <w:rsid w:val="007A747B"/>
    <w:rsid w:val="007D32EF"/>
    <w:rsid w:val="007D715D"/>
    <w:rsid w:val="007E341C"/>
    <w:rsid w:val="00830705"/>
    <w:rsid w:val="008458FE"/>
    <w:rsid w:val="008475FB"/>
    <w:rsid w:val="00891D88"/>
    <w:rsid w:val="008A32B6"/>
    <w:rsid w:val="008B0291"/>
    <w:rsid w:val="008E7338"/>
    <w:rsid w:val="00921A70"/>
    <w:rsid w:val="00942851"/>
    <w:rsid w:val="00947409"/>
    <w:rsid w:val="009842CE"/>
    <w:rsid w:val="009E1D9A"/>
    <w:rsid w:val="009E4475"/>
    <w:rsid w:val="009E46D4"/>
    <w:rsid w:val="00A36150"/>
    <w:rsid w:val="00A42326"/>
    <w:rsid w:val="00A64CB8"/>
    <w:rsid w:val="00A74BDA"/>
    <w:rsid w:val="00A860D7"/>
    <w:rsid w:val="00AB46CC"/>
    <w:rsid w:val="00B1578D"/>
    <w:rsid w:val="00B15FE6"/>
    <w:rsid w:val="00B51857"/>
    <w:rsid w:val="00B74ADB"/>
    <w:rsid w:val="00B74ADE"/>
    <w:rsid w:val="00B85584"/>
    <w:rsid w:val="00BA38F1"/>
    <w:rsid w:val="00BB70EC"/>
    <w:rsid w:val="00BF3490"/>
    <w:rsid w:val="00BF6CD7"/>
    <w:rsid w:val="00C3688A"/>
    <w:rsid w:val="00C378D9"/>
    <w:rsid w:val="00C46F3B"/>
    <w:rsid w:val="00C47A7B"/>
    <w:rsid w:val="00C5118D"/>
    <w:rsid w:val="00C55760"/>
    <w:rsid w:val="00C82BFB"/>
    <w:rsid w:val="00C92B3E"/>
    <w:rsid w:val="00CA446C"/>
    <w:rsid w:val="00CC44BD"/>
    <w:rsid w:val="00CE4FFB"/>
    <w:rsid w:val="00CF1200"/>
    <w:rsid w:val="00D41C6D"/>
    <w:rsid w:val="00D440AB"/>
    <w:rsid w:val="00D73FE1"/>
    <w:rsid w:val="00D92AB2"/>
    <w:rsid w:val="00DA21DE"/>
    <w:rsid w:val="00DB3499"/>
    <w:rsid w:val="00E8375D"/>
    <w:rsid w:val="00E86B79"/>
    <w:rsid w:val="00E95610"/>
    <w:rsid w:val="00EA6619"/>
    <w:rsid w:val="00EB6DB5"/>
    <w:rsid w:val="00EC3A77"/>
    <w:rsid w:val="00EF00E4"/>
    <w:rsid w:val="00EF0FF4"/>
    <w:rsid w:val="00F06377"/>
    <w:rsid w:val="00F749EA"/>
    <w:rsid w:val="00F7620C"/>
    <w:rsid w:val="00FB211D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CE354"/>
  <w15:chartTrackingRefBased/>
  <w15:docId w15:val="{26061D4D-9E17-43CF-AB40-3195C41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31"/>
    <w:pPr>
      <w:spacing w:line="360" w:lineRule="auto"/>
    </w:pPr>
    <w:rPr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6CC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67A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67AB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6C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67A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6C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7A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6C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6CC"/>
    <w:rPr>
      <w:rFonts w:asciiTheme="majorHAnsi" w:eastAsiaTheme="majorEastAsia" w:hAnsiTheme="majorHAnsi" w:cstheme="majorBidi"/>
      <w:b/>
      <w:color w:val="0067A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CC3"/>
    <w:rPr>
      <w:rFonts w:asciiTheme="majorHAnsi" w:eastAsiaTheme="majorEastAsia" w:hAnsiTheme="majorHAnsi" w:cstheme="majorBidi"/>
      <w:b/>
      <w:color w:val="0067AB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B636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67A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362"/>
    <w:rPr>
      <w:rFonts w:asciiTheme="majorHAnsi" w:eastAsiaTheme="majorEastAsia" w:hAnsiTheme="majorHAnsi" w:cstheme="majorBidi"/>
      <w:color w:val="0067A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75D"/>
    <w:pPr>
      <w:numPr>
        <w:ilvl w:val="1"/>
      </w:numPr>
    </w:pPr>
    <w:rPr>
      <w:rFonts w:eastAsiaTheme="minorEastAsia"/>
      <w:color w:val="9D9FA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8375D"/>
    <w:rPr>
      <w:rFonts w:eastAsiaTheme="minorEastAsia"/>
      <w:color w:val="9D9FA1"/>
      <w:spacing w:val="15"/>
      <w:sz w:val="36"/>
    </w:rPr>
  </w:style>
  <w:style w:type="character" w:styleId="Emphasis">
    <w:name w:val="Emphasis"/>
    <w:basedOn w:val="DefaultParagraphFont"/>
    <w:uiPriority w:val="20"/>
    <w:qFormat/>
    <w:rsid w:val="004B6362"/>
    <w:rPr>
      <w:rFonts w:asciiTheme="majorHAnsi" w:hAnsiTheme="majorHAnsi"/>
      <w:b/>
      <w:i w:val="0"/>
      <w:iCs/>
      <w:color w:val="5C9CB6"/>
      <w:sz w:val="20"/>
    </w:rPr>
  </w:style>
  <w:style w:type="character" w:styleId="Strong">
    <w:name w:val="Strong"/>
    <w:basedOn w:val="DefaultParagraphFont"/>
    <w:uiPriority w:val="22"/>
    <w:qFormat/>
    <w:rsid w:val="004B6362"/>
    <w:rPr>
      <w:b/>
      <w:bCs/>
    </w:rPr>
  </w:style>
  <w:style w:type="character" w:styleId="SubtleEmphasis">
    <w:name w:val="Subtle Emphasis"/>
    <w:basedOn w:val="DefaultParagraphFont"/>
    <w:uiPriority w:val="19"/>
    <w:rsid w:val="0073400A"/>
    <w:rPr>
      <w:i/>
      <w:iCs/>
      <w:color w:val="auto"/>
    </w:rPr>
  </w:style>
  <w:style w:type="paragraph" w:customStyle="1" w:styleId="IntroParagraph">
    <w:name w:val="Intro Paragraph"/>
    <w:next w:val="Normal"/>
    <w:qFormat/>
    <w:rsid w:val="00921A70"/>
    <w:pPr>
      <w:pBdr>
        <w:bottom w:val="single" w:sz="24" w:space="5" w:color="FFCD00"/>
      </w:pBdr>
      <w:spacing w:before="240" w:after="720" w:line="360" w:lineRule="auto"/>
    </w:pPr>
    <w:rPr>
      <w:color w:val="5C9CB6"/>
      <w:sz w:val="32"/>
    </w:rPr>
  </w:style>
  <w:style w:type="paragraph" w:styleId="Header">
    <w:name w:val="header"/>
    <w:basedOn w:val="Normal"/>
    <w:link w:val="HeaderChar"/>
    <w:uiPriority w:val="99"/>
    <w:unhideWhenUsed/>
    <w:rsid w:val="00E8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75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8375D"/>
    <w:pPr>
      <w:tabs>
        <w:tab w:val="center" w:pos="4680"/>
        <w:tab w:val="right" w:pos="9360"/>
      </w:tabs>
      <w:spacing w:after="0" w:line="240" w:lineRule="auto"/>
    </w:pPr>
    <w:rPr>
      <w:caps/>
      <w:color w:val="5C9CB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375D"/>
    <w:rPr>
      <w:caps/>
      <w:color w:val="5C9CB6"/>
      <w:sz w:val="16"/>
    </w:rPr>
  </w:style>
  <w:style w:type="table" w:styleId="TableGrid">
    <w:name w:val="Table Grid"/>
    <w:basedOn w:val="TableNormal"/>
    <w:uiPriority w:val="39"/>
    <w:rsid w:val="00E8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rsid w:val="00AB46CC"/>
    <w:pPr>
      <w:pBdr>
        <w:top w:val="single" w:sz="4" w:space="10" w:color="0067AB" w:themeColor="accent1"/>
        <w:bottom w:val="single" w:sz="4" w:space="10" w:color="0067AB" w:themeColor="accent1"/>
      </w:pBdr>
      <w:spacing w:before="360" w:after="360"/>
      <w:ind w:left="864" w:right="864"/>
      <w:jc w:val="center"/>
    </w:pPr>
    <w:rPr>
      <w:i/>
      <w:iCs/>
      <w:color w:val="0067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6CC"/>
    <w:rPr>
      <w:i/>
      <w:iCs/>
      <w:color w:val="0067AB" w:themeColor="accent1"/>
      <w:sz w:val="20"/>
    </w:rPr>
  </w:style>
  <w:style w:type="paragraph" w:customStyle="1" w:styleId="Sectiontitle">
    <w:name w:val="Section title"/>
    <w:next w:val="Title"/>
    <w:qFormat/>
    <w:rsid w:val="00AB46CC"/>
    <w:pPr>
      <w:spacing w:after="240"/>
    </w:pPr>
    <w:rPr>
      <w:rFonts w:asciiTheme="majorHAnsi" w:eastAsiaTheme="majorEastAsia" w:hAnsiTheme="majorHAnsi" w:cstheme="majorBidi"/>
      <w:b/>
      <w:caps/>
      <w:color w:val="9D9FA1"/>
      <w:spacing w:val="-10"/>
      <w:kern w:val="28"/>
      <w:sz w:val="1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6A3EBD"/>
    <w:pPr>
      <w:pBdr>
        <w:top w:val="single" w:sz="2" w:space="5" w:color="9D9FA1"/>
        <w:bottom w:val="single" w:sz="2" w:space="0" w:color="9D9FA1"/>
      </w:pBdr>
      <w:spacing w:before="240" w:after="240"/>
    </w:pPr>
    <w:rPr>
      <w:i/>
      <w:iCs/>
      <w:color w:val="9D9FA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6A3EBD"/>
    <w:rPr>
      <w:i/>
      <w:iCs/>
      <w:color w:val="9D9FA1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C3688A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C3688A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688A"/>
    <w:rPr>
      <w:sz w:val="20"/>
    </w:rPr>
  </w:style>
  <w:style w:type="character" w:customStyle="1" w:styleId="BulletListChar">
    <w:name w:val="Bullet List Char"/>
    <w:basedOn w:val="ListParagraphChar"/>
    <w:link w:val="BulletList"/>
    <w:rsid w:val="00C3688A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E6CD4"/>
    <w:rPr>
      <w:rFonts w:asciiTheme="majorHAnsi" w:eastAsiaTheme="majorEastAsia" w:hAnsiTheme="majorHAnsi" w:cstheme="majorBidi"/>
      <w:color w:val="0067AB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6CD4"/>
    <w:rPr>
      <w:rFonts w:asciiTheme="majorHAnsi" w:eastAsiaTheme="majorEastAsia" w:hAnsiTheme="majorHAnsi" w:cstheme="majorBidi"/>
      <w:i/>
      <w:iCs/>
      <w:color w:val="0067AB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E6CD4"/>
    <w:rPr>
      <w:rFonts w:asciiTheme="majorHAnsi" w:eastAsiaTheme="majorEastAsia" w:hAnsiTheme="majorHAnsi" w:cstheme="majorBidi"/>
      <w:sz w:val="20"/>
    </w:rPr>
  </w:style>
  <w:style w:type="table" w:styleId="ListTable2-Accent4">
    <w:name w:val="List Table 2 Accent 4"/>
    <w:aliases w:val="RHSC Table"/>
    <w:basedOn w:val="TableNormal"/>
    <w:uiPriority w:val="47"/>
    <w:rsid w:val="00784F1F"/>
    <w:pPr>
      <w:spacing w:after="0" w:line="240" w:lineRule="auto"/>
    </w:pPr>
    <w:tblPr>
      <w:tblStyleRowBandSize w:val="1"/>
      <w:tblStyleColBandSize w:val="1"/>
      <w:tblBorders>
        <w:top w:val="single" w:sz="4" w:space="0" w:color="C4C5C6" w:themeColor="accent4" w:themeTint="99"/>
        <w:bottom w:val="single" w:sz="4" w:space="0" w:color="C4C5C6" w:themeColor="accent4" w:themeTint="99"/>
        <w:insideH w:val="single" w:sz="4" w:space="0" w:color="C4C5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C" w:themeFill="accent4" w:themeFillTint="33"/>
      </w:tcPr>
    </w:tblStylePr>
    <w:tblStylePr w:type="band1Horz">
      <w:tblPr/>
      <w:tcPr>
        <w:shd w:val="clear" w:color="auto" w:fill="EBEBEC" w:themeFill="accent4" w:themeFillTint="33"/>
      </w:tcPr>
    </w:tblStylePr>
  </w:style>
  <w:style w:type="table" w:customStyle="1" w:styleId="RHSCstyle">
    <w:name w:val="RHSC style"/>
    <w:basedOn w:val="ListTable2"/>
    <w:uiPriority w:val="99"/>
    <w:rsid w:val="00A64CB8"/>
    <w:tblPr>
      <w:tblBorders>
        <w:top w:val="none" w:sz="0" w:space="0" w:color="auto"/>
        <w:bottom w:val="none" w:sz="0" w:space="0" w:color="auto"/>
        <w:insideH w:val="single" w:sz="4" w:space="0" w:color="9D9FA1" w:themeColor="accent4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Trebuchet MS" w:hAnsi="Trebuchet MS"/>
        <w:b/>
        <w:bCs/>
        <w:color w:val="auto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jc w:val="left"/>
      </w:pPr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Textboxtitle">
    <w:name w:val="Text box title"/>
    <w:basedOn w:val="Normal"/>
    <w:link w:val="TextboxtitleChar"/>
    <w:qFormat/>
    <w:rsid w:val="00247931"/>
    <w:rPr>
      <w:b/>
      <w:sz w:val="24"/>
      <w:lang w:val="es-ES"/>
      <w14:textFill>
        <w14:solidFill>
          <w14:srgbClr w14:val="000000">
            <w14:lumMod w14:val="50000"/>
          </w14:srgbClr>
        </w14:solidFill>
      </w14:textFill>
    </w:rPr>
  </w:style>
  <w:style w:type="table" w:styleId="ListTable2">
    <w:name w:val="List Table 2"/>
    <w:basedOn w:val="TableNormal"/>
    <w:uiPriority w:val="47"/>
    <w:rsid w:val="00784F1F"/>
    <w:pPr>
      <w:spacing w:after="0" w:line="240" w:lineRule="auto"/>
    </w:pPr>
    <w:tblPr>
      <w:tblStyleRowBandSize w:val="1"/>
      <w:tblStyleColBandSize w:val="1"/>
      <w:tblBorders>
        <w:top w:val="single" w:sz="4" w:space="0" w:color="B5BFCF" w:themeColor="text1" w:themeTint="99"/>
        <w:bottom w:val="single" w:sz="4" w:space="0" w:color="B5BFCF" w:themeColor="text1" w:themeTint="99"/>
        <w:insideH w:val="single" w:sz="4" w:space="0" w:color="B5BFC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9EF" w:themeFill="text1" w:themeFillTint="33"/>
      </w:tcPr>
    </w:tblStylePr>
    <w:tblStylePr w:type="band1Horz">
      <w:tblPr/>
      <w:tcPr>
        <w:shd w:val="clear" w:color="auto" w:fill="E6E9EF" w:themeFill="text1" w:themeFillTint="33"/>
      </w:tcPr>
    </w:tblStylePr>
  </w:style>
  <w:style w:type="character" w:customStyle="1" w:styleId="TextboxtitleChar">
    <w:name w:val="Text box title Char"/>
    <w:basedOn w:val="DefaultParagraphFont"/>
    <w:link w:val="Textboxtitle"/>
    <w:rsid w:val="00247931"/>
    <w:rPr>
      <w:b/>
      <w:color w:val="000000"/>
      <w:sz w:val="24"/>
      <w:lang w:val="es-ES"/>
      <w14:textFill>
        <w14:solidFill>
          <w14:srgbClr w14:val="000000">
            <w14:lumMod w14:val="50000"/>
          </w14:srgbClr>
        </w14:solidFill>
      </w14:textFill>
    </w:rPr>
  </w:style>
  <w:style w:type="paragraph" w:styleId="NoSpacing">
    <w:name w:val="No Spacing"/>
    <w:link w:val="NoSpacingChar"/>
    <w:uiPriority w:val="1"/>
    <w:qFormat/>
    <w:rsid w:val="00366F7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66F77"/>
    <w:rPr>
      <w:rFonts w:eastAsiaTheme="minorEastAsia"/>
    </w:rPr>
  </w:style>
  <w:style w:type="paragraph" w:customStyle="1" w:styleId="CoverTitle">
    <w:name w:val="Cover_Title"/>
    <w:next w:val="Normal"/>
    <w:link w:val="CoverTitleChar"/>
    <w:autoRedefine/>
    <w:qFormat/>
    <w:rsid w:val="00270702"/>
    <w:pPr>
      <w:pBdr>
        <w:left w:val="single" w:sz="24" w:space="13" w:color="FFCD00" w:themeColor="accent3"/>
      </w:pBdr>
      <w:spacing w:after="0" w:line="240" w:lineRule="auto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A36150"/>
    <w:rPr>
      <w:color w:val="808080"/>
    </w:rPr>
  </w:style>
  <w:style w:type="character" w:customStyle="1" w:styleId="CoverTitleChar">
    <w:name w:val="Cover_Title Char"/>
    <w:basedOn w:val="TitleChar"/>
    <w:link w:val="CoverTitle"/>
    <w:rsid w:val="00270702"/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56"/>
    </w:rPr>
  </w:style>
  <w:style w:type="character" w:styleId="Hyperlink">
    <w:name w:val="Hyperlink"/>
    <w:basedOn w:val="DefaultParagraphFont"/>
    <w:uiPriority w:val="99"/>
    <w:unhideWhenUsed/>
    <w:rsid w:val="0055141B"/>
    <w:rPr>
      <w:color w:val="5C9CB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0C"/>
    <w:rPr>
      <w:rFonts w:ascii="Segoe UI" w:hAnsi="Segoe UI" w:cs="Segoe UI"/>
      <w:color w:val="000000"/>
      <w:sz w:val="18"/>
      <w:szCs w:val="18"/>
    </w:rPr>
  </w:style>
  <w:style w:type="paragraph" w:styleId="BodyText">
    <w:name w:val="Body Text"/>
    <w:aliases w:val="bt"/>
    <w:basedOn w:val="Normal"/>
    <w:link w:val="BodyTextChar"/>
    <w:rsid w:val="00F7620C"/>
    <w:pPr>
      <w:keepNext/>
      <w:tabs>
        <w:tab w:val="left" w:pos="0"/>
        <w:tab w:val="left" w:pos="456"/>
        <w:tab w:val="left" w:pos="819"/>
        <w:tab w:val="left" w:pos="1184"/>
        <w:tab w:val="left" w:pos="50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F7620C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2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20C"/>
    <w:rPr>
      <w:rFonts w:ascii="Garamond" w:eastAsia="Times New Roman" w:hAnsi="Garamond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62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20C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620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746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746"/>
    <w:rPr>
      <w:rFonts w:ascii="Garamond" w:eastAsia="Times New Roman" w:hAnsi="Garamond" w:cs="Times New Roman"/>
      <w:b/>
      <w:bCs/>
      <w:color w:val="000000"/>
      <w:sz w:val="20"/>
      <w:szCs w:val="20"/>
    </w:rPr>
  </w:style>
  <w:style w:type="paragraph" w:customStyle="1" w:styleId="Table-Text">
    <w:name w:val="Table-Text"/>
    <w:basedOn w:val="Normal"/>
    <w:link w:val="Table-TextChar"/>
    <w:qFormat/>
    <w:rsid w:val="00070D81"/>
    <w:pPr>
      <w:spacing w:after="0" w:line="240" w:lineRule="auto"/>
      <w:ind w:left="-621" w:right="-684"/>
    </w:pPr>
    <w:rPr>
      <w:color w:val="auto"/>
      <w:sz w:val="18"/>
    </w:rPr>
  </w:style>
  <w:style w:type="character" w:customStyle="1" w:styleId="Table-TextChar">
    <w:name w:val="Table-Text Char"/>
    <w:basedOn w:val="DefaultParagraphFont"/>
    <w:link w:val="Table-Text"/>
    <w:rsid w:val="00070D8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HSC">
      <a:dk1>
        <a:srgbClr val="8496B0"/>
      </a:dk1>
      <a:lt1>
        <a:sysClr val="window" lastClr="FFFFFF"/>
      </a:lt1>
      <a:dk2>
        <a:srgbClr val="8496B0"/>
      </a:dk2>
      <a:lt2>
        <a:srgbClr val="FFFFFF"/>
      </a:lt2>
      <a:accent1>
        <a:srgbClr val="0067AB"/>
      </a:accent1>
      <a:accent2>
        <a:srgbClr val="5C9CB6"/>
      </a:accent2>
      <a:accent3>
        <a:srgbClr val="FFCD00"/>
      </a:accent3>
      <a:accent4>
        <a:srgbClr val="9D9FA1"/>
      </a:accent4>
      <a:accent5>
        <a:srgbClr val="F16521"/>
      </a:accent5>
      <a:accent6>
        <a:srgbClr val="8A5D3B"/>
      </a:accent6>
      <a:hlink>
        <a:srgbClr val="5C9CB6"/>
      </a:hlink>
      <a:folHlink>
        <a:srgbClr val="9D9FA1"/>
      </a:folHlink>
    </a:clrScheme>
    <a:fontScheme name="RHS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592C45-6C50-5E4D-BD43-7A92CF65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goes here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goes here</dc:title>
  <dc:subject/>
  <dc:creator>Alexe, Lucian</dc:creator>
  <cp:keywords/>
  <dc:description/>
  <cp:lastModifiedBy>Swaroop Jayaprakash</cp:lastModifiedBy>
  <cp:revision>10</cp:revision>
  <cp:lastPrinted>2016-11-30T12:07:00Z</cp:lastPrinted>
  <dcterms:created xsi:type="dcterms:W3CDTF">2020-04-09T16:41:00Z</dcterms:created>
  <dcterms:modified xsi:type="dcterms:W3CDTF">2020-05-28T14:14:00Z</dcterms:modified>
</cp:coreProperties>
</file>