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962CB" w14:textId="603045EE" w:rsidR="007372DA" w:rsidRPr="007372DA" w:rsidRDefault="007372DA" w:rsidP="007372DA">
      <w:pPr>
        <w:jc w:val="center"/>
        <w:rPr>
          <w:b/>
        </w:rPr>
      </w:pPr>
      <w:r w:rsidRPr="008D47CB">
        <w:rPr>
          <w:b/>
          <w:bCs/>
        </w:rPr>
        <w:t>NSCA </w:t>
      </w:r>
      <w:proofErr w:type="gramStart"/>
      <w:r w:rsidRPr="008D47CB">
        <w:rPr>
          <w:b/>
          <w:bCs/>
        </w:rPr>
        <w:t>2.0 :</w:t>
      </w:r>
      <w:proofErr w:type="gramEnd"/>
      <w:r w:rsidRPr="008D47CB">
        <w:rPr>
          <w:b/>
          <w:bCs/>
        </w:rPr>
        <w:t xml:space="preserve"> Niveaux Capability Maturity Model (CMM)</w:t>
      </w:r>
    </w:p>
    <w:p w14:paraId="3FF57FF0" w14:textId="6BB37FFB" w:rsidR="007372DA" w:rsidRDefault="007372DA">
      <w:bookmarkStart w:id="0" w:name="_GoBack"/>
      <w:bookmarkEnd w:id="0"/>
    </w:p>
    <w:tbl>
      <w:tblPr>
        <w:tblStyle w:val="TableGrid"/>
        <w:tblpPr w:leftFromText="180" w:rightFromText="180" w:vertAnchor="text" w:tblpX="108" w:tblpY="1"/>
        <w:tblOverlap w:val="never"/>
        <w:tblW w:w="48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6466"/>
        <w:gridCol w:w="1566"/>
      </w:tblGrid>
      <w:tr w:rsidR="007372DA" w:rsidRPr="008D47CB" w14:paraId="2C6A1F72" w14:textId="77777777" w:rsidTr="007F463D">
        <w:tc>
          <w:tcPr>
            <w:tcW w:w="5000" w:type="pct"/>
            <w:gridSpan w:val="3"/>
            <w:shd w:val="clear" w:color="auto" w:fill="595959" w:themeFill="text1" w:themeFillTint="A6"/>
            <w:vAlign w:val="center"/>
          </w:tcPr>
          <w:p w14:paraId="554AAA0A" w14:textId="2BD6881B" w:rsidR="007372DA" w:rsidRPr="008D47CB" w:rsidRDefault="007372DA" w:rsidP="007F463D">
            <w:pPr>
              <w:pStyle w:val="TableTitle"/>
              <w:framePr w:hSpace="0" w:wrap="auto" w:vAnchor="margin" w:hAnchor="text" w:xAlign="left" w:yAlign="inline"/>
              <w:rPr>
                <w:spacing w:val="-4"/>
                <w:lang w:val="fr-CA"/>
              </w:rPr>
            </w:pPr>
            <w:r w:rsidRPr="008D47CB">
              <w:rPr>
                <w:bCs/>
                <w:spacing w:val="-4"/>
                <w:lang w:val="fr-FR"/>
              </w:rPr>
              <w:t>Définitions du degré de maturité et contribution au score général du modèle CMM</w:t>
            </w:r>
          </w:p>
        </w:tc>
      </w:tr>
      <w:tr w:rsidR="007372DA" w:rsidRPr="008D47CB" w14:paraId="76F4C1C7" w14:textId="77777777" w:rsidTr="007F463D">
        <w:tc>
          <w:tcPr>
            <w:tcW w:w="529" w:type="pct"/>
            <w:shd w:val="clear" w:color="auto" w:fill="auto"/>
            <w:vAlign w:val="center"/>
          </w:tcPr>
          <w:p w14:paraId="7E451BC5" w14:textId="77777777" w:rsidR="007372DA" w:rsidRPr="00A26534" w:rsidRDefault="007372DA" w:rsidP="007F463D">
            <w:pPr>
              <w:pStyle w:val="TableHeading1"/>
              <w:framePr w:hSpace="0" w:wrap="auto" w:vAnchor="margin" w:hAnchor="text" w:xAlign="left" w:yAlign="inline"/>
            </w:pPr>
            <w:r>
              <w:rPr>
                <w:lang w:val="fr-FR"/>
              </w:rPr>
              <w:t>Degré de maturité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3C476015" w14:textId="77777777" w:rsidR="007372DA" w:rsidRPr="00A26534" w:rsidRDefault="007372DA" w:rsidP="007F463D">
            <w:pPr>
              <w:pStyle w:val="TableHeading1"/>
              <w:framePr w:hSpace="0" w:wrap="auto" w:vAnchor="margin" w:hAnchor="text" w:xAlign="left" w:yAlign="inline"/>
            </w:pPr>
            <w:r>
              <w:rPr>
                <w:lang w:val="fr-FR"/>
              </w:rPr>
              <w:t>Définition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93DE7DD" w14:textId="77777777" w:rsidR="007372DA" w:rsidRPr="008D47CB" w:rsidRDefault="007372DA" w:rsidP="007F463D">
            <w:pPr>
              <w:pStyle w:val="TableHeading1"/>
              <w:framePr w:hSpace="0" w:wrap="auto" w:vAnchor="margin" w:hAnchor="text" w:xAlign="left" w:yAlign="inline"/>
              <w:rPr>
                <w:lang w:val="fr-CA"/>
              </w:rPr>
            </w:pPr>
            <w:r>
              <w:rPr>
                <w:lang w:val="fr-FR"/>
              </w:rPr>
              <w:t>Contribution maximale au score du modèle CMM</w:t>
            </w:r>
          </w:p>
        </w:tc>
      </w:tr>
      <w:tr w:rsidR="007372DA" w:rsidRPr="00A26534" w14:paraId="2253A683" w14:textId="77777777" w:rsidTr="007F463D">
        <w:tc>
          <w:tcPr>
            <w:tcW w:w="529" w:type="pct"/>
            <w:vAlign w:val="center"/>
          </w:tcPr>
          <w:p w14:paraId="26BAEDD9" w14:textId="5731D971" w:rsidR="007372DA" w:rsidRPr="00A26534" w:rsidRDefault="006F59B0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De base</w:t>
            </w:r>
          </w:p>
        </w:tc>
        <w:tc>
          <w:tcPr>
            <w:tcW w:w="3605" w:type="pct"/>
            <w:vAlign w:val="center"/>
          </w:tcPr>
          <w:p w14:paraId="6C436FBA" w14:textId="0EA96720" w:rsidR="007372DA" w:rsidRPr="008D47CB" w:rsidRDefault="007372DA" w:rsidP="007F463D">
            <w:pPr>
              <w:pStyle w:val="TableText"/>
              <w:framePr w:hSpace="0" w:wrap="auto" w:vAnchor="margin" w:hAnchor="text" w:xAlign="left" w:yAlign="inline"/>
              <w:rPr>
                <w:lang w:val="fr-CA"/>
              </w:rPr>
            </w:pPr>
            <w:r>
              <w:rPr>
                <w:lang w:val="fr-FR"/>
              </w:rPr>
              <w:t>Il s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agit des éléments (politiques, structures, processus, procédures, outils, indicateurs, rapports, ressources) </w:t>
            </w:r>
            <w:r>
              <w:rPr>
                <w:b/>
                <w:bCs/>
                <w:lang w:val="fr-FR"/>
              </w:rPr>
              <w:t>indispensables</w:t>
            </w:r>
            <w:r>
              <w:rPr>
                <w:lang w:val="fr-FR"/>
              </w:rPr>
              <w:t xml:space="preserve"> au bon fonctionnement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un système de chaîne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approvisionnement (p. ex., fiche de stock utilisée pour la gestion des stocks)</w:t>
            </w:r>
          </w:p>
        </w:tc>
        <w:tc>
          <w:tcPr>
            <w:tcW w:w="866" w:type="pct"/>
            <w:vAlign w:val="center"/>
          </w:tcPr>
          <w:p w14:paraId="722220DD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50 %</w:t>
            </w:r>
          </w:p>
        </w:tc>
      </w:tr>
      <w:tr w:rsidR="007372DA" w:rsidRPr="00A26534" w14:paraId="58BBF79D" w14:textId="77777777" w:rsidTr="007F463D">
        <w:tc>
          <w:tcPr>
            <w:tcW w:w="529" w:type="pct"/>
            <w:vAlign w:val="center"/>
          </w:tcPr>
          <w:p w14:paraId="7E27BC8A" w14:textId="4C6BF11C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Intermédiaire</w:t>
            </w:r>
          </w:p>
        </w:tc>
        <w:tc>
          <w:tcPr>
            <w:tcW w:w="3605" w:type="pct"/>
            <w:vAlign w:val="center"/>
          </w:tcPr>
          <w:p w14:paraId="5578E8E0" w14:textId="75477C25" w:rsidR="007372DA" w:rsidRPr="008D47CB" w:rsidRDefault="007372DA" w:rsidP="007F463D">
            <w:pPr>
              <w:pStyle w:val="TableText"/>
              <w:framePr w:hSpace="0" w:wrap="auto" w:vAnchor="margin" w:hAnchor="text" w:xAlign="left" w:yAlign="inline"/>
              <w:rPr>
                <w:lang w:val="fr-CA"/>
              </w:rPr>
            </w:pPr>
            <w:r>
              <w:rPr>
                <w:lang w:val="fr-FR"/>
              </w:rPr>
              <w:t>Il s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agit des éléments (politiques, structures, processus, outils, indicateurs, ressources) non indispensables mais dont il est </w:t>
            </w:r>
            <w:r>
              <w:rPr>
                <w:b/>
                <w:bCs/>
                <w:lang w:val="fr-FR"/>
              </w:rPr>
              <w:t>important</w:t>
            </w:r>
            <w:r>
              <w:rPr>
                <w:lang w:val="fr-FR"/>
              </w:rPr>
              <w:t xml:space="preserve"> de disposer (p. ex., feuille Excel).</w:t>
            </w:r>
          </w:p>
        </w:tc>
        <w:tc>
          <w:tcPr>
            <w:tcW w:w="866" w:type="pct"/>
            <w:vAlign w:val="center"/>
          </w:tcPr>
          <w:p w14:paraId="1A8AC533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30 %</w:t>
            </w:r>
          </w:p>
        </w:tc>
      </w:tr>
      <w:tr w:rsidR="007372DA" w:rsidRPr="00A26534" w14:paraId="71A0FC77" w14:textId="77777777" w:rsidTr="007F463D">
        <w:tc>
          <w:tcPr>
            <w:tcW w:w="529" w:type="pct"/>
            <w:vAlign w:val="center"/>
          </w:tcPr>
          <w:p w14:paraId="3E1723D1" w14:textId="790F1707" w:rsidR="007372DA" w:rsidRPr="00A26534" w:rsidRDefault="006F59B0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Avancé</w:t>
            </w:r>
          </w:p>
        </w:tc>
        <w:tc>
          <w:tcPr>
            <w:tcW w:w="3605" w:type="pct"/>
            <w:vAlign w:val="center"/>
          </w:tcPr>
          <w:p w14:paraId="18C5E457" w14:textId="57D8D365" w:rsidR="007372DA" w:rsidRPr="008D47CB" w:rsidRDefault="007372DA" w:rsidP="007F463D">
            <w:pPr>
              <w:pStyle w:val="TableText"/>
              <w:framePr w:hSpace="0" w:wrap="auto" w:vAnchor="margin" w:hAnchor="text" w:xAlign="left" w:yAlign="inline"/>
              <w:rPr>
                <w:lang w:val="fr-CA"/>
              </w:rPr>
            </w:pPr>
            <w:r>
              <w:rPr>
                <w:lang w:val="fr-FR"/>
              </w:rPr>
              <w:t>Il s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agit des éléments (politiques, structures, processus, procédures, outils, indicateurs, rapports, ressources) </w:t>
            </w:r>
            <w:r>
              <w:rPr>
                <w:b/>
                <w:bCs/>
                <w:lang w:val="fr-FR"/>
              </w:rPr>
              <w:t>souhaitables</w:t>
            </w:r>
            <w:r>
              <w:rPr>
                <w:lang w:val="fr-FR"/>
              </w:rPr>
              <w:t xml:space="preserve"> pour le bon fonctionnement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un système de chaîne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approvisionnement (p. ex., Rx Solution, un outil électronique de gestion de stock et de distribution)</w:t>
            </w:r>
          </w:p>
        </w:tc>
        <w:tc>
          <w:tcPr>
            <w:tcW w:w="866" w:type="pct"/>
            <w:vAlign w:val="center"/>
          </w:tcPr>
          <w:p w14:paraId="7AD5A828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15 %</w:t>
            </w:r>
          </w:p>
        </w:tc>
      </w:tr>
      <w:tr w:rsidR="007372DA" w:rsidRPr="00A26534" w14:paraId="6CCC3AEC" w14:textId="77777777" w:rsidTr="007F463D">
        <w:tc>
          <w:tcPr>
            <w:tcW w:w="529" w:type="pct"/>
            <w:vAlign w:val="center"/>
          </w:tcPr>
          <w:p w14:paraId="48025DD6" w14:textId="0D0D16FD" w:rsidR="007372DA" w:rsidRPr="00A26534" w:rsidRDefault="006F59B0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Summum</w:t>
            </w:r>
          </w:p>
        </w:tc>
        <w:tc>
          <w:tcPr>
            <w:tcW w:w="3605" w:type="pct"/>
            <w:vAlign w:val="center"/>
          </w:tcPr>
          <w:p w14:paraId="1DD6B748" w14:textId="1C94355A" w:rsidR="007372DA" w:rsidRPr="008D47CB" w:rsidRDefault="007372DA" w:rsidP="007F463D">
            <w:pPr>
              <w:pStyle w:val="TableText"/>
              <w:framePr w:hSpace="0" w:wrap="auto" w:vAnchor="margin" w:hAnchor="text" w:xAlign="left" w:yAlign="inline"/>
              <w:rPr>
                <w:lang w:val="fr-CA"/>
              </w:rPr>
            </w:pPr>
            <w:r>
              <w:rPr>
                <w:lang w:val="fr-FR"/>
              </w:rPr>
              <w:t>Il s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agit des éléments (politiques, structures, processus, procédures, outils, indicateurs, rapports, ressources) </w:t>
            </w:r>
            <w:r>
              <w:rPr>
                <w:b/>
                <w:bCs/>
                <w:lang w:val="fr-FR"/>
              </w:rPr>
              <w:t>de pointe</w:t>
            </w:r>
            <w:r>
              <w:rPr>
                <w:lang w:val="fr-FR"/>
              </w:rPr>
              <w:t xml:space="preserve"> mais </w:t>
            </w:r>
            <w:r>
              <w:rPr>
                <w:b/>
                <w:bCs/>
                <w:lang w:val="fr-FR"/>
              </w:rPr>
              <w:t>non indispensables</w:t>
            </w:r>
            <w:r>
              <w:rPr>
                <w:lang w:val="fr-FR"/>
              </w:rPr>
              <w:t xml:space="preserve"> pour le bon fonctionnement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un système de chaîne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approvisionnement (p. ex., système de planification des ressources d</w:t>
            </w:r>
            <w:r w:rsidR="008D47CB">
              <w:rPr>
                <w:lang w:val="fr-FR"/>
              </w:rPr>
              <w:t>’</w:t>
            </w:r>
            <w:r>
              <w:rPr>
                <w:lang w:val="fr-FR"/>
              </w:rPr>
              <w:t>entreprise pour la gestion et le contrôle des stocks)</w:t>
            </w:r>
          </w:p>
        </w:tc>
        <w:tc>
          <w:tcPr>
            <w:tcW w:w="866" w:type="pct"/>
            <w:vAlign w:val="center"/>
          </w:tcPr>
          <w:p w14:paraId="51420525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>
              <w:rPr>
                <w:lang w:val="fr-FR"/>
              </w:rPr>
              <w:t>5 %</w:t>
            </w:r>
          </w:p>
        </w:tc>
      </w:tr>
    </w:tbl>
    <w:p w14:paraId="6041BF09" w14:textId="77777777" w:rsidR="007372DA" w:rsidRDefault="007372DA"/>
    <w:sectPr w:rsidR="00737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DA"/>
    <w:rsid w:val="006F59B0"/>
    <w:rsid w:val="007372DA"/>
    <w:rsid w:val="008D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A3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2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1">
    <w:name w:val="Table Heading 1"/>
    <w:basedOn w:val="Normal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caps/>
      <w:color w:val="6C6463"/>
      <w:sz w:val="18"/>
      <w:szCs w:val="18"/>
    </w:rPr>
  </w:style>
  <w:style w:type="paragraph" w:customStyle="1" w:styleId="TableText">
    <w:name w:val="Table Text"/>
    <w:basedOn w:val="Normal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color w:val="6C6463"/>
      <w:sz w:val="18"/>
      <w:szCs w:val="18"/>
    </w:rPr>
  </w:style>
  <w:style w:type="paragraph" w:customStyle="1" w:styleId="TableTitle">
    <w:name w:val="Table Title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2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1">
    <w:name w:val="Table Heading 1"/>
    <w:basedOn w:val="Normal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caps/>
      <w:color w:val="6C6463"/>
      <w:sz w:val="18"/>
      <w:szCs w:val="18"/>
    </w:rPr>
  </w:style>
  <w:style w:type="paragraph" w:customStyle="1" w:styleId="TableText">
    <w:name w:val="Table Text"/>
    <w:basedOn w:val="Normal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color w:val="6C6463"/>
      <w:sz w:val="18"/>
      <w:szCs w:val="18"/>
    </w:rPr>
  </w:style>
  <w:style w:type="paragraph" w:customStyle="1" w:styleId="TableTitle">
    <w:name w:val="Table Title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63CE9246-648C-4227-8CA0-494E76B2BBEC}"/>
</file>

<file path=customXml/itemProps2.xml><?xml version="1.0" encoding="utf-8"?>
<ds:datastoreItem xmlns:ds="http://schemas.openxmlformats.org/officeDocument/2006/customXml" ds:itemID="{A36C6AEC-A976-477C-8789-8D8670A302AB}"/>
</file>

<file path=customXml/itemProps3.xml><?xml version="1.0" encoding="utf-8"?>
<ds:datastoreItem xmlns:ds="http://schemas.openxmlformats.org/officeDocument/2006/customXml" ds:itemID="{5BD1CD99-4299-40EA-9A2F-7866251B38C8}"/>
</file>

<file path=customXml/itemProps4.xml><?xml version="1.0" encoding="utf-8"?>
<ds:datastoreItem xmlns:ds="http://schemas.openxmlformats.org/officeDocument/2006/customXml" ds:itemID="{53CA61C7-B859-4A70-AC8F-FD163AAE8C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2018-08-22T17:11:00Z</dcterms:created>
  <dcterms:modified xsi:type="dcterms:W3CDTF">2019-04-11T07:05:00Z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