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E0F5F" w14:textId="77F50908" w:rsidR="009161C5" w:rsidRPr="00C6139D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  <w:lang w:val="fr-CA"/>
        </w:rPr>
      </w:pPr>
      <w:r>
        <w:rPr>
          <w:rFonts w:ascii="Arial" w:hAnsi="Arial" w:cs="Arial"/>
          <w:b/>
          <w:bCs/>
          <w:sz w:val="22"/>
          <w:szCs w:val="22"/>
          <w:lang w:val="fr-FR"/>
        </w:rPr>
        <w:t>Formation des parties prenantes à la NSCA 2.0</w:t>
      </w:r>
    </w:p>
    <w:p w14:paraId="0E687079" w14:textId="008D470D" w:rsidR="009161C5" w:rsidRPr="00C6139D" w:rsidRDefault="009161C5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3</w:t>
      </w:r>
      <w:r>
        <w:rPr>
          <w:rFonts w:ascii="Arial" w:hAnsi="Arial" w:cs="Arial"/>
          <w:b/>
          <w:bCs/>
          <w:vertAlign w:val="superscript"/>
          <w:lang w:val="fr-FR"/>
        </w:rPr>
        <w:t>e </w:t>
      </w:r>
      <w:r>
        <w:rPr>
          <w:rFonts w:ascii="Arial" w:hAnsi="Arial" w:cs="Arial"/>
          <w:b/>
          <w:bCs/>
          <w:lang w:val="fr-FR"/>
        </w:rPr>
        <w:t>jour : Exercice d</w:t>
      </w:r>
      <w:r w:rsidR="00C6139D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>interprétation (KPI et CMM)</w:t>
      </w:r>
    </w:p>
    <w:p w14:paraId="0DDAFBFA" w14:textId="4E8B43EB" w:rsidR="00ED7E2A" w:rsidRDefault="00ED7E2A" w:rsidP="00ED7E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fr-FR"/>
        </w:rPr>
        <w:t>Conseils pour l</w:t>
      </w:r>
      <w:r w:rsidR="00C6139D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>exercice</w:t>
      </w:r>
    </w:p>
    <w:p w14:paraId="672EEFF3" w14:textId="77777777" w:rsidR="00ED7E2A" w:rsidRDefault="00ED7E2A" w:rsidP="009161C5">
      <w:pPr>
        <w:rPr>
          <w:rFonts w:ascii="Arial" w:hAnsi="Arial" w:cs="Arial"/>
          <w:b/>
        </w:rPr>
      </w:pPr>
    </w:p>
    <w:p w14:paraId="5E195C1B" w14:textId="2E4F4ABB" w:rsidR="009161C5" w:rsidRPr="00C6139D" w:rsidRDefault="009161C5" w:rsidP="00F25AC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>Intérêt de l</w:t>
      </w:r>
      <w:r w:rsidR="00C6139D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exercice : </w:t>
      </w:r>
      <w:r>
        <w:rPr>
          <w:rFonts w:ascii="Arial" w:hAnsi="Arial" w:cs="Arial"/>
          <w:lang w:val="fr-FR"/>
        </w:rPr>
        <w:t>Posez des questions spécifiques à chaque équipe : Qu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est-ce qu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un écart ? À quoi peut être due cette situation ? De quelle manière pourriez-vous vou</w:t>
      </w:r>
      <w:bookmarkStart w:id="0" w:name="_GoBack"/>
      <w:bookmarkEnd w:id="0"/>
      <w:r>
        <w:rPr>
          <w:rFonts w:ascii="Arial" w:hAnsi="Arial" w:cs="Arial"/>
          <w:lang w:val="fr-FR"/>
        </w:rPr>
        <w:t>s investir pour faire progresser les performances ?</w:t>
      </w:r>
    </w:p>
    <w:p w14:paraId="73D71BC9" w14:textId="739556F7" w:rsidR="009161C5" w:rsidRPr="00C6139D" w:rsidRDefault="009161C5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Fournitures nécessaires : </w:t>
      </w:r>
      <w:r>
        <w:rPr>
          <w:rFonts w:ascii="Arial" w:hAnsi="Arial" w:cs="Arial"/>
          <w:lang w:val="fr-FR"/>
        </w:rPr>
        <w:t>Aucune</w:t>
      </w:r>
    </w:p>
    <w:p w14:paraId="32C8CAA5" w14:textId="2B7D7B55" w:rsidR="00DA071D" w:rsidRPr="00C6139D" w:rsidRDefault="00DA071D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>Documents d</w:t>
      </w:r>
      <w:r w:rsidR="00C6139D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accompagnement : </w:t>
      </w:r>
      <w:r>
        <w:rPr>
          <w:rFonts w:ascii="Arial" w:hAnsi="Arial" w:cs="Arial"/>
          <w:lang w:val="fr-FR"/>
        </w:rPr>
        <w:t>Copies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extrants KPI et CMM : tableaux et tableau de bord, copie de la fiche de référence des KPI pour chaque table, document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analyse des disparités </w:t>
      </w:r>
    </w:p>
    <w:p w14:paraId="232B023E" w14:textId="73E43FE7" w:rsidR="00A52B3D" w:rsidRPr="00C6139D" w:rsidRDefault="00A52B3D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Durée estimée : </w:t>
      </w:r>
      <w:r>
        <w:rPr>
          <w:rFonts w:ascii="Arial" w:hAnsi="Arial" w:cs="Arial"/>
          <w:lang w:val="fr-FR"/>
        </w:rPr>
        <w:t>30 minutes</w:t>
      </w:r>
    </w:p>
    <w:p w14:paraId="4C5011A8" w14:textId="5CDCF189" w:rsidR="009161C5" w:rsidRPr="00C6139D" w:rsidRDefault="009161C5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Notes pour le formateur : </w:t>
      </w:r>
    </w:p>
    <w:p w14:paraId="6167DA64" w14:textId="6551EE14" w:rsidR="007469E2" w:rsidRPr="00C6139D" w:rsidRDefault="007469E2" w:rsidP="00F25AC9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Dans cet exercice, les groupes correspondent à chacune des tables de participants. </w:t>
      </w:r>
    </w:p>
    <w:p w14:paraId="47C794FD" w14:textId="323DD3AC" w:rsidR="00C849EB" w:rsidRPr="00C6139D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Passez en revue les principaux objectifs de la tâche avec tous les participants : </w:t>
      </w:r>
    </w:p>
    <w:p w14:paraId="08EE4D52" w14:textId="4AED5978" w:rsidR="00C849EB" w:rsidRPr="00C6139D" w:rsidRDefault="00F25AC9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Se familiariser avec l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analyse conjointe des extrants KPI et CMM</w:t>
      </w:r>
    </w:p>
    <w:p w14:paraId="4D74F2B7" w14:textId="7E243FD2" w:rsidR="00F25AC9" w:rsidRPr="00C6139D" w:rsidRDefault="00F25AC9" w:rsidP="00A3559C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Pratiquer l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interprétation conjointe des extrants KPI et CMM</w:t>
      </w:r>
    </w:p>
    <w:p w14:paraId="39EC3E78" w14:textId="347F4EC5" w:rsidR="00C849EB" w:rsidRPr="00C6139D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Demandez à chacune des tables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analyser les documents fournis et de travailler en équipe à l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interprétation combinée des conclusions des KPI et du modèle CMM : </w:t>
      </w:r>
    </w:p>
    <w:p w14:paraId="1E9844C8" w14:textId="272B6ABA" w:rsidR="00DA071D" w:rsidRPr="00C6139D" w:rsidRDefault="00DA071D" w:rsidP="007D0E74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 révèlent ces conclusions sur les performances de la chaîne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 ?</w:t>
      </w:r>
    </w:p>
    <w:p w14:paraId="45ADE981" w14:textId="659400E5" w:rsidR="00DA071D" w:rsidRPr="00C6139D" w:rsidRDefault="00DA071D" w:rsidP="00DA071D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Quels aspects du système de gestion de la chaîne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fonctionnent bien ?</w:t>
      </w:r>
    </w:p>
    <w:p w14:paraId="286D3AE5" w14:textId="064A0415" w:rsidR="00F25AC9" w:rsidRPr="00C6139D" w:rsidRDefault="00F25AC9" w:rsidP="00A3559C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Quels aspects du système de gestion de la chaîne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peuvent être améliorés ?</w:t>
      </w:r>
    </w:p>
    <w:p w14:paraId="1A90D42A" w14:textId="5C84062F" w:rsidR="00DA071D" w:rsidRPr="00C6139D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Donnez à chaque table de participants environ 10 minutes pour réfléchir à ce qu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ils pensent des propositions ci-dessus. </w:t>
      </w:r>
    </w:p>
    <w:p w14:paraId="0C614392" w14:textId="06C33B3A" w:rsidR="00DA071D" w:rsidRPr="00C6139D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Au bout de 10 minutes, réunissez à nouveau le groupe. Demandez à chaque table de présenter ses réflexions au groupe. Prévoyez un temps de discussion. Cette partie doit durer environ 10 minutes. </w:t>
      </w:r>
    </w:p>
    <w:p w14:paraId="0AC3CFF4" w14:textId="70A11949" w:rsidR="00A3559C" w:rsidRDefault="00A3559C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Demandez aux participants de passer en revue le document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analyse des disparités. Discutez des scénarios présentés et indiquez à quelles conclusions pourraient aboutir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éventuelles évaluations ultérieures menées par les participants. Cette partie doit prendre les 10 minutes qui restent. </w:t>
      </w:r>
    </w:p>
    <w:p w14:paraId="1E10AE7A" w14:textId="02A93BC6" w:rsidR="00DA071D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Mettez fin à l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exercice.</w:t>
      </w:r>
    </w:p>
    <w:p w14:paraId="280D3F90" w14:textId="7A327228" w:rsidR="00F25AC9" w:rsidRPr="00C6139D" w:rsidRDefault="00F25AC9" w:rsidP="007D0E74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Insistez bien sur le fait que les données (CMM et KPI) doivent être envisagées dans leur ensemble pour avoir une vision plus claire des flux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une chaîne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approvisionnement </w:t>
      </w:r>
    </w:p>
    <w:p w14:paraId="3C2C11D9" w14:textId="434C6789" w:rsidR="00A3559C" w:rsidRPr="00C6139D" w:rsidRDefault="00A3559C" w:rsidP="007D0E74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N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oubliez pas de souligner que les données ne mettent pas toujours clairement en évidence les domaines qui ont besoin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être renforcés, et qu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il est important de détecter les points où un maillon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une chaîne d</w:t>
      </w:r>
      <w:r w:rsidR="00C6139D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approvisionnement peut impacter un autre élément du système. </w:t>
      </w:r>
    </w:p>
    <w:p w14:paraId="053C99C2" w14:textId="77777777" w:rsidR="009161C5" w:rsidRPr="00C6139D" w:rsidRDefault="009161C5">
      <w:pPr>
        <w:rPr>
          <w:rFonts w:ascii="Arial" w:hAnsi="Arial" w:cs="Arial"/>
          <w:lang w:val="fr-CA"/>
        </w:rPr>
      </w:pPr>
    </w:p>
    <w:sectPr w:rsidR="009161C5" w:rsidRPr="00C61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C5"/>
    <w:rsid w:val="0000290E"/>
    <w:rsid w:val="007469E2"/>
    <w:rsid w:val="007D0E74"/>
    <w:rsid w:val="009161C5"/>
    <w:rsid w:val="00A3559C"/>
    <w:rsid w:val="00A52B3D"/>
    <w:rsid w:val="00AE71A5"/>
    <w:rsid w:val="00C6139D"/>
    <w:rsid w:val="00C849EB"/>
    <w:rsid w:val="00CD0127"/>
    <w:rsid w:val="00CD2CC5"/>
    <w:rsid w:val="00D97729"/>
    <w:rsid w:val="00DA071D"/>
    <w:rsid w:val="00ED7E2A"/>
    <w:rsid w:val="00F2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6E3FAC13-28C7-45BF-8C4C-9D079C820BE2}"/>
</file>

<file path=customXml/itemProps2.xml><?xml version="1.0" encoding="utf-8"?>
<ds:datastoreItem xmlns:ds="http://schemas.openxmlformats.org/officeDocument/2006/customXml" ds:itemID="{230A2F2B-B901-48E6-AAA4-EEF38B25E24B}"/>
</file>

<file path=customXml/itemProps3.xml><?xml version="1.0" encoding="utf-8"?>
<ds:datastoreItem xmlns:ds="http://schemas.openxmlformats.org/officeDocument/2006/customXml" ds:itemID="{F5FC40E9-885B-4740-B9D7-DF84E24951A6}"/>
</file>

<file path=customXml/itemProps4.xml><?xml version="1.0" encoding="utf-8"?>
<ds:datastoreItem xmlns:ds="http://schemas.openxmlformats.org/officeDocument/2006/customXml" ds:itemID="{658AD91A-8E8E-47FF-8120-6E08781FD9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pchia</cp:lastModifiedBy>
  <cp:revision>3</cp:revision>
  <dcterms:created xsi:type="dcterms:W3CDTF">2018-09-17T18:43:00Z</dcterms:created>
  <dcterms:modified xsi:type="dcterms:W3CDTF">2019-04-11T07:16:00Z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